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C8165" w14:textId="5341C447" w:rsidR="0053001C" w:rsidRPr="00B266B0" w:rsidRDefault="0053001C" w:rsidP="0053001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2645C">
        <w:rPr>
          <w:bCs/>
          <w:noProof w:val="0"/>
          <w:sz w:val="24"/>
          <w:szCs w:val="24"/>
        </w:rPr>
        <w:t>5426</w:t>
      </w:r>
    </w:p>
    <w:p w14:paraId="680CEE6F" w14:textId="44679207" w:rsidR="0053001C" w:rsidRPr="00465587" w:rsidRDefault="0053001C" w:rsidP="0053001C">
      <w:pPr>
        <w:pStyle w:val="Header"/>
        <w:tabs>
          <w:tab w:val="right" w:pos="9639"/>
        </w:tabs>
        <w:rPr>
          <w:rFonts w:eastAsia="SimSun"/>
          <w:bCs/>
          <w:sz w:val="24"/>
          <w:szCs w:val="24"/>
          <w:lang w:eastAsia="zh-CN"/>
        </w:rPr>
      </w:pP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310B92C9" w14:textId="3DBEA89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86E60" w:rsidRPr="2C1896C2">
        <w:rPr>
          <w:rFonts w:cs="Arial"/>
          <w:b/>
          <w:bCs/>
          <w:sz w:val="24"/>
          <w:szCs w:val="24"/>
          <w:lang w:eastAsia="ja-JP"/>
        </w:rPr>
        <w:t>8.13.</w:t>
      </w:r>
      <w:r w:rsidR="00F86E60">
        <w:rPr>
          <w:rFonts w:cs="Arial"/>
          <w:b/>
          <w:bCs/>
          <w:sz w:val="24"/>
          <w:szCs w:val="24"/>
          <w:lang w:eastAsia="ja-JP"/>
        </w:rPr>
        <w:t>7</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399E53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347A">
        <w:rPr>
          <w:rFonts w:ascii="Arial" w:hAnsi="Arial" w:cs="Arial"/>
          <w:b/>
          <w:bCs/>
          <w:sz w:val="24"/>
        </w:rPr>
        <w:t>Discussion on NP</w:t>
      </w:r>
      <w:r w:rsidR="0062645C">
        <w:rPr>
          <w:rFonts w:ascii="Arial" w:hAnsi="Arial" w:cs="Arial"/>
          <w:b/>
          <w:bCs/>
          <w:sz w:val="24"/>
        </w:rPr>
        <w:t>N</w:t>
      </w:r>
      <w:r w:rsidR="00DA347A">
        <w:rPr>
          <w:rFonts w:ascii="Arial" w:hAnsi="Arial" w:cs="Arial"/>
          <w:b/>
          <w:bCs/>
          <w:sz w:val="24"/>
        </w:rPr>
        <w:t xml:space="preserve"> related issues </w:t>
      </w:r>
      <w:r w:rsidR="00874FF7">
        <w:rPr>
          <w:rFonts w:ascii="Arial" w:hAnsi="Arial" w:cs="Arial"/>
          <w:b/>
          <w:bCs/>
          <w:sz w:val="24"/>
        </w:rPr>
        <w:t>in SON/MDT</w:t>
      </w:r>
    </w:p>
    <w:p w14:paraId="25F387E8" w14:textId="0266E60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86E60" w:rsidRPr="2C1896C2">
        <w:rPr>
          <w:rFonts w:ascii="Arial" w:hAnsi="Arial" w:cs="Arial"/>
          <w:b/>
          <w:bCs/>
          <w:sz w:val="24"/>
          <w:szCs w:val="24"/>
        </w:rPr>
        <w:t>NR_ENDC_SON_MDT_enh2-Core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6DBBDB0" w14:textId="77777777" w:rsidR="0068432A" w:rsidRDefault="0068432A" w:rsidP="0068432A">
      <w:r>
        <w:t>At RAN2#120 it was agreed to “</w:t>
      </w:r>
      <w:r w:rsidRPr="00423D87">
        <w:t>Introduce SPNP ID (e.g., NID) to RLF/HOF report</w:t>
      </w:r>
      <w:r>
        <w:t>” but it remained open:</w:t>
      </w:r>
    </w:p>
    <w:p w14:paraId="745195DC" w14:textId="77777777" w:rsidR="0068432A" w:rsidRDefault="0068432A" w:rsidP="0068432A">
      <w:pPr>
        <w:pStyle w:val="ListParagraph"/>
        <w:numPr>
          <w:ilvl w:val="0"/>
          <w:numId w:val="10"/>
        </w:numPr>
      </w:pPr>
      <w:r>
        <w:t>whether to introduce SNPN ID in logged MDT reports</w:t>
      </w:r>
    </w:p>
    <w:p w14:paraId="505B1EC3" w14:textId="0B46495F" w:rsidR="00F86E60" w:rsidRDefault="0068432A" w:rsidP="0068432A">
      <w:pPr>
        <w:pStyle w:val="ListParagraph"/>
        <w:numPr>
          <w:ilvl w:val="0"/>
          <w:numId w:val="10"/>
        </w:numPr>
      </w:pPr>
      <w:r>
        <w:t xml:space="preserve">whether to introduce </w:t>
      </w:r>
      <w:r w:rsidRPr="00423D87">
        <w:t>PNI-NPN (CAG) ID</w:t>
      </w:r>
      <w:r>
        <w:t xml:space="preserve"> in </w:t>
      </w:r>
      <w:r w:rsidRPr="00423D87">
        <w:t>RLF/HOF report</w:t>
      </w:r>
      <w:r>
        <w:t>s</w:t>
      </w:r>
    </w:p>
    <w:p w14:paraId="0348648E" w14:textId="6F4B93D3" w:rsidR="0068432A" w:rsidRDefault="0068432A" w:rsidP="0068432A">
      <w:pPr>
        <w:pStyle w:val="ListParagraph"/>
        <w:numPr>
          <w:ilvl w:val="0"/>
          <w:numId w:val="10"/>
        </w:numPr>
      </w:pPr>
      <w:r>
        <w:t xml:space="preserve">whether to introduce </w:t>
      </w:r>
      <w:r w:rsidRPr="00423D87">
        <w:t>PNI-NPN (CAG) ID</w:t>
      </w:r>
      <w:r>
        <w:t xml:space="preserve"> in logged MDT reports</w:t>
      </w:r>
    </w:p>
    <w:p w14:paraId="6BEA9DC8" w14:textId="5708D98F" w:rsidR="0068432A" w:rsidRDefault="0068432A" w:rsidP="009339CB">
      <w:r>
        <w:t xml:space="preserve">The use of NPN IDs in logged MDT configuration also remained open. </w:t>
      </w:r>
    </w:p>
    <w:p w14:paraId="7ED1F106" w14:textId="77777777" w:rsidR="0068432A" w:rsidRDefault="0068432A" w:rsidP="009339CB">
      <w:r>
        <w:t>Another issue that was not discussed due to the lack of time whether to introduce new NPN specific variables for NPNs.</w:t>
      </w:r>
    </w:p>
    <w:p w14:paraId="7A3015D3" w14:textId="29CDA9B1" w:rsidR="00F86E60" w:rsidRDefault="0068432A" w:rsidP="009339CB">
      <w:r>
        <w:t xml:space="preserve">This paper discusses these open issues and proposes way forwards in these areas.  </w:t>
      </w:r>
    </w:p>
    <w:p w14:paraId="101901EC" w14:textId="77777777" w:rsidR="00F77410" w:rsidRDefault="009339CB" w:rsidP="009339CB">
      <w:pPr>
        <w:pStyle w:val="Heading1"/>
      </w:pPr>
      <w:r w:rsidRPr="006E13D1">
        <w:t>2</w:t>
      </w:r>
      <w:r w:rsidRPr="006E13D1">
        <w:tab/>
      </w:r>
      <w:r w:rsidR="000B5B9A">
        <w:t>Discussion</w:t>
      </w:r>
    </w:p>
    <w:p w14:paraId="7BC3CF6F" w14:textId="35808F68" w:rsidR="006A0756" w:rsidRDefault="006A0756" w:rsidP="00F77410">
      <w:pPr>
        <w:pStyle w:val="Heading2"/>
      </w:pPr>
      <w:r>
        <w:t>2.1</w:t>
      </w:r>
      <w:r>
        <w:tab/>
      </w:r>
      <w:r w:rsidR="00A43917">
        <w:t>Use of PNI-</w:t>
      </w:r>
      <w:r>
        <w:t xml:space="preserve">NPN </w:t>
      </w:r>
      <w:r w:rsidR="00A43917">
        <w:t xml:space="preserve">(CAG) </w:t>
      </w:r>
      <w:r>
        <w:t xml:space="preserve">IDs in </w:t>
      </w:r>
      <w:r w:rsidR="00A43917">
        <w:t>SON/MDT</w:t>
      </w:r>
    </w:p>
    <w:p w14:paraId="67AFD828" w14:textId="77777777" w:rsidR="00B54CB4" w:rsidRDefault="00B54CB4" w:rsidP="00B54CB4">
      <w:r w:rsidRPr="001B7C50">
        <w:t>Public Network Integrated NPN (PNI-NPN)</w:t>
      </w:r>
      <w:r>
        <w:t xml:space="preserve"> are specified in clause 5.30.3 of TS 23.501:</w:t>
      </w:r>
    </w:p>
    <w:p w14:paraId="60045F94" w14:textId="77777777" w:rsidR="00B54CB4" w:rsidRDefault="00B54CB4" w:rsidP="00B54CB4">
      <w:pPr>
        <w:pBdr>
          <w:top w:val="single" w:sz="4" w:space="1" w:color="auto"/>
          <w:left w:val="single" w:sz="4" w:space="4" w:color="auto"/>
          <w:bottom w:val="single" w:sz="4" w:space="1" w:color="auto"/>
          <w:right w:val="single" w:sz="4" w:space="4" w:color="auto"/>
        </w:pBdr>
        <w:ind w:left="284"/>
      </w:pPr>
      <w:r w:rsidRPr="001B7C50">
        <w:t xml:space="preserve">Public Network Integrated NPNs are </w:t>
      </w:r>
      <w:r w:rsidRPr="00CB2685">
        <w:rPr>
          <w:highlight w:val="cyan"/>
        </w:rPr>
        <w:t>NPNs made available via PLMNs</w:t>
      </w:r>
      <w:r w:rsidRPr="001B7C50">
        <w:t xml:space="preserve"> e.g. by means of dedicated DNNs, or by one (or more) Network Slice instances allocated for the NPN. The existing network slicing functionalities apply as described in clause 5.15. When a PNI-NPN is made available via a PLMN, then the </w:t>
      </w:r>
      <w:r w:rsidRPr="00CB2685">
        <w:rPr>
          <w:highlight w:val="cyan"/>
        </w:rPr>
        <w:t>UE shall have a subscription for the PLMN</w:t>
      </w:r>
      <w:r w:rsidRPr="001B7C50">
        <w:t xml:space="preserve"> in order to access PNI-NPN.</w:t>
      </w:r>
    </w:p>
    <w:p w14:paraId="22D3A3EF" w14:textId="77777777" w:rsidR="00B54CB4" w:rsidRDefault="00B54CB4" w:rsidP="00B54CB4">
      <w:r>
        <w:t>The above description (especially the parts highlighted by cyan) clarifies that PNI-NPNs controlled by PLMNs and the access of a PNI-NPN requires subscription for the PLMN that controls it. The RAN specifications also clarifies that a cell whose access is restricted by one or more CAG IDs can only be selected if it belongs to the selected/registered PLMN or ePLMN (clause 16.7.2 of 38.300):</w:t>
      </w:r>
    </w:p>
    <w:p w14:paraId="2C44C245" w14:textId="77777777" w:rsidR="00B54CB4" w:rsidRPr="00AD7840" w:rsidRDefault="00B54CB4" w:rsidP="00B54CB4">
      <w:pPr>
        <w:pStyle w:val="Heading4"/>
        <w:pBdr>
          <w:top w:val="single" w:sz="4" w:space="1" w:color="auto"/>
          <w:left w:val="single" w:sz="4" w:space="4" w:color="auto"/>
          <w:bottom w:val="single" w:sz="4" w:space="1" w:color="auto"/>
          <w:right w:val="single" w:sz="4" w:space="4" w:color="auto"/>
        </w:pBdr>
        <w:ind w:left="1702"/>
      </w:pPr>
      <w:r w:rsidRPr="00AD7840">
        <w:t>16.7.2.1</w:t>
      </w:r>
      <w:r w:rsidRPr="00AD7840">
        <w:tab/>
        <w:t>General</w:t>
      </w:r>
    </w:p>
    <w:p w14:paraId="64DD9E9E" w14:textId="77777777" w:rsidR="00B54CB4" w:rsidRDefault="00B54CB4" w:rsidP="00B54CB4">
      <w:pPr>
        <w:pBdr>
          <w:top w:val="single" w:sz="4" w:space="1" w:color="auto"/>
          <w:left w:val="single" w:sz="4" w:space="4" w:color="auto"/>
          <w:bottom w:val="single" w:sz="4" w:space="1" w:color="auto"/>
          <w:right w:val="single" w:sz="4" w:space="4" w:color="auto"/>
        </w:pBdr>
        <w:ind w:left="284"/>
      </w:pPr>
      <w:r>
        <w:t>[…]</w:t>
      </w:r>
    </w:p>
    <w:p w14:paraId="251AED2A" w14:textId="77777777" w:rsidR="00B54CB4" w:rsidRDefault="00B54CB4" w:rsidP="00B54CB4">
      <w:pPr>
        <w:pBdr>
          <w:top w:val="single" w:sz="4" w:space="1" w:color="auto"/>
          <w:left w:val="single" w:sz="4" w:space="4" w:color="auto"/>
          <w:bottom w:val="single" w:sz="4" w:space="1" w:color="auto"/>
          <w:right w:val="single" w:sz="4" w:space="4" w:color="auto"/>
        </w:pBdr>
        <w:ind w:left="284"/>
      </w:pPr>
      <w:r w:rsidRPr="00874FF7">
        <w:rPr>
          <w:highlight w:val="cyan"/>
        </w:rPr>
        <w:t>A CAG Member Cell for a UE is a cell broadcasting the identity of the selected PLMN, registered PLMN or equivalent PLMN, and for that PLMN</w:t>
      </w:r>
      <w:r w:rsidRPr="00AD7840">
        <w:t>,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15092EF7" w14:textId="5EBCCF37" w:rsidR="00B54CB4" w:rsidRPr="00CB2685" w:rsidRDefault="00B54CB4" w:rsidP="00B54CB4">
      <w:pPr>
        <w:rPr>
          <w:b/>
          <w:bCs/>
        </w:rPr>
      </w:pPr>
      <w:r w:rsidRPr="00CB2685">
        <w:rPr>
          <w:b/>
          <w:bCs/>
        </w:rPr>
        <w:t xml:space="preserve">Observation </w:t>
      </w:r>
      <w:r>
        <w:rPr>
          <w:b/>
          <w:bCs/>
        </w:rPr>
        <w:t>1</w:t>
      </w:r>
      <w:r w:rsidR="00C538A8">
        <w:rPr>
          <w:b/>
          <w:bCs/>
        </w:rPr>
        <w:t>.1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51ADA75F" w14:textId="7C2FEC21" w:rsidR="00AA1870" w:rsidRDefault="00AA1870" w:rsidP="00B54CB4">
      <w:r>
        <w:t xml:space="preserve">At RAN2#120 it was agreed that </w:t>
      </w:r>
    </w:p>
    <w:p w14:paraId="5DBE87A7" w14:textId="77777777" w:rsidR="00AA1870" w:rsidRDefault="00AA1870" w:rsidP="00AA1870">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14:paraId="7167044E"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p>
    <w:p w14:paraId="181D2118"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PNI-NPN (CAG) ID checking is NOT performed before sending the RLF/HOF report availability indication related to a PNI-NPN network.</w:t>
      </w:r>
    </w:p>
    <w:p w14:paraId="308B59D4" w14:textId="77777777" w:rsidR="00AA1870" w:rsidRPr="00423D87" w:rsidRDefault="00AA1870" w:rsidP="00AA1870">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2</w:t>
      </w:r>
      <w:r>
        <w:rPr>
          <w:lang w:val="en-GB"/>
        </w:rPr>
        <w:tab/>
      </w:r>
      <w:r w:rsidRPr="00423D87">
        <w:rPr>
          <w:lang w:val="en-GB"/>
        </w:rPr>
        <w:t>PNI-NPN (CAG) ID checking is NOT performed before sending the logged MDT availability indication related to a PNI-NPN network.</w:t>
      </w:r>
    </w:p>
    <w:p w14:paraId="66CFF743" w14:textId="77777777" w:rsidR="00AA1870" w:rsidRDefault="00AA1870" w:rsidP="00B54CB4"/>
    <w:p w14:paraId="155430F5" w14:textId="3B5A4072" w:rsidR="00A43917" w:rsidRDefault="00A43917" w:rsidP="00A43917">
      <w:r>
        <w:t xml:space="preserve">A consequence of these agreements that the presence of PNI-NPN (CAG) ID </w:t>
      </w:r>
      <w:r w:rsidR="00C538A8">
        <w:t xml:space="preserve">in these reports </w:t>
      </w:r>
      <w:r>
        <w:t xml:space="preserve">is not necessary </w:t>
      </w:r>
      <w:r w:rsidR="00C538A8">
        <w:t>for the UE before the availability indication is sent.</w:t>
      </w:r>
    </w:p>
    <w:p w14:paraId="1F618D10" w14:textId="65E66CBB" w:rsidR="000E51FF" w:rsidRDefault="00AA1870" w:rsidP="00B54CB4">
      <w:pPr>
        <w:rPr>
          <w:b/>
          <w:bCs/>
        </w:rPr>
      </w:pPr>
      <w:r w:rsidRPr="00AA1870">
        <w:rPr>
          <w:b/>
          <w:bCs/>
        </w:rPr>
        <w:t xml:space="preserve">Observation </w:t>
      </w:r>
      <w:r w:rsidR="00C538A8">
        <w:rPr>
          <w:b/>
          <w:bCs/>
        </w:rPr>
        <w:t>1.</w:t>
      </w:r>
      <w:r w:rsidR="00BD3D0F">
        <w:rPr>
          <w:b/>
          <w:bCs/>
        </w:rPr>
        <w:t>2</w:t>
      </w:r>
      <w:r w:rsidRPr="00AA1870">
        <w:rPr>
          <w:b/>
          <w:bCs/>
        </w:rPr>
        <w:t xml:space="preserve">: </w:t>
      </w:r>
      <w:r w:rsidR="00C538A8">
        <w:rPr>
          <w:b/>
          <w:bCs/>
        </w:rPr>
        <w:t>N</w:t>
      </w:r>
      <w:r w:rsidRPr="00AA1870">
        <w:rPr>
          <w:b/>
          <w:bCs/>
        </w:rPr>
        <w:t xml:space="preserve">o PNI-NPN (CAG) ID </w:t>
      </w:r>
      <w:r w:rsidR="00C538A8">
        <w:rPr>
          <w:b/>
          <w:bCs/>
        </w:rPr>
        <w:t xml:space="preserve">in </w:t>
      </w:r>
      <w:r w:rsidR="00C538A8" w:rsidRPr="00C538A8">
        <w:rPr>
          <w:b/>
          <w:bCs/>
        </w:rPr>
        <w:t xml:space="preserve">the RLF/HOF </w:t>
      </w:r>
      <w:r w:rsidR="00C538A8">
        <w:rPr>
          <w:b/>
          <w:bCs/>
        </w:rPr>
        <w:t xml:space="preserve">and logged MDT </w:t>
      </w:r>
      <w:r w:rsidR="00C538A8" w:rsidRPr="00C538A8">
        <w:rPr>
          <w:b/>
          <w:bCs/>
        </w:rPr>
        <w:t>report</w:t>
      </w:r>
      <w:r w:rsidR="00C538A8">
        <w:rPr>
          <w:b/>
          <w:bCs/>
        </w:rPr>
        <w:t>s is needed in the UE to check if availability indication can be sent.</w:t>
      </w:r>
    </w:p>
    <w:p w14:paraId="78021300" w14:textId="7C6D526F" w:rsidR="00C538A8" w:rsidRDefault="00AA1870" w:rsidP="00B54CB4">
      <w:r>
        <w:t>Based on these observations there is no technical reason to include to PNI-NPN (CAG) ID in the reports.</w:t>
      </w:r>
      <w:r w:rsidR="00C538A8">
        <w:t xml:space="preserve"> </w:t>
      </w:r>
    </w:p>
    <w:p w14:paraId="07122142" w14:textId="53E625D0" w:rsidR="004F5EC0" w:rsidRDefault="00C538A8" w:rsidP="004F5EC0">
      <w:r>
        <w:t xml:space="preserve">Another important aspect is that the UE does not send the “selected CAG ID” to the network, and it does not get any information from the network </w:t>
      </w:r>
      <w:r w:rsidR="004F5EC0">
        <w:t>about the use of its CAG membership(s) for cell access. If the cell can be accessed by normal subscribers and one or more CAG subscriptions of the UE, it is not clear whether the UE accesses the cell based on its normal subscription o</w:t>
      </w:r>
      <w:r w:rsidR="00970FEB">
        <w:t>r</w:t>
      </w:r>
      <w:r w:rsidR="004F5EC0">
        <w:t xml:space="preserve"> based on its CAG subscription. If the cell can be access by multiple CAG subscriptions of the UE, there is no indication which CAG subscription of the UE is used to get access to the cell. </w:t>
      </w:r>
    </w:p>
    <w:p w14:paraId="105B43EB" w14:textId="3F457B46" w:rsidR="00C538A8" w:rsidRDefault="00C538A8" w:rsidP="00C538A8">
      <w:pPr>
        <w:rPr>
          <w:b/>
          <w:bCs/>
        </w:rPr>
      </w:pPr>
      <w:r w:rsidRPr="00CB2685">
        <w:rPr>
          <w:b/>
          <w:bCs/>
        </w:rPr>
        <w:t xml:space="preserve">Observation </w:t>
      </w:r>
      <w:r>
        <w:rPr>
          <w:b/>
          <w:bCs/>
        </w:rPr>
        <w:t>1.</w:t>
      </w:r>
      <w:r w:rsidR="00BD3D0F">
        <w:rPr>
          <w:b/>
          <w:bCs/>
        </w:rPr>
        <w:t>3</w:t>
      </w:r>
      <w:r w:rsidRPr="00CB2685">
        <w:rPr>
          <w:b/>
          <w:bCs/>
        </w:rPr>
        <w:t xml:space="preserve">: </w:t>
      </w:r>
      <w:r w:rsidR="004F5EC0">
        <w:rPr>
          <w:b/>
          <w:bCs/>
        </w:rPr>
        <w:t>If a UE can get access in a cell in multiple ways, then it is ambiguous whether the UE should add its CAG ID and which of its CAG IDs in the reports.</w:t>
      </w:r>
    </w:p>
    <w:p w14:paraId="6C87917A" w14:textId="258271A4" w:rsidR="00AA1870" w:rsidRDefault="004F5EC0" w:rsidP="00B54CB4">
      <w:r>
        <w:t>As there is no technical reason to include PNI-NPN (CAG) ID in the reports, and it is ambiguous when and which PNI-NPN (CAG) ID(s) should be added to the reports, we think that PNI-NPN (CAG) IDs should not be in the RLF/HOF and logged MDT reports.</w:t>
      </w:r>
    </w:p>
    <w:p w14:paraId="3CB31509" w14:textId="6F12AB31" w:rsidR="00AA1870" w:rsidRPr="00874FF7" w:rsidRDefault="00AA1870" w:rsidP="00AA1870">
      <w:pPr>
        <w:rPr>
          <w:b/>
          <w:bCs/>
        </w:rPr>
      </w:pPr>
      <w:r w:rsidRPr="00874FF7">
        <w:rPr>
          <w:b/>
          <w:bCs/>
        </w:rPr>
        <w:t xml:space="preserve">Proposal </w:t>
      </w:r>
      <w:r>
        <w:rPr>
          <w:b/>
          <w:bCs/>
        </w:rPr>
        <w:t>1.1</w:t>
      </w:r>
      <w:r w:rsidRPr="00874FF7">
        <w:rPr>
          <w:b/>
          <w:bCs/>
        </w:rPr>
        <w:t xml:space="preserve">: </w:t>
      </w:r>
      <w:r w:rsidR="004F5EC0">
        <w:rPr>
          <w:b/>
          <w:bCs/>
        </w:rPr>
        <w:t>No PNI-NPN (</w:t>
      </w:r>
      <w:r w:rsidRPr="00874FF7">
        <w:rPr>
          <w:b/>
          <w:bCs/>
        </w:rPr>
        <w:t>CAG ID</w:t>
      </w:r>
      <w:r w:rsidR="004F5EC0">
        <w:rPr>
          <w:b/>
          <w:bCs/>
        </w:rPr>
        <w:t>) 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14673FF0" w14:textId="248E78F2" w:rsidR="00AA1870" w:rsidRPr="00874FF7" w:rsidRDefault="00AA1870" w:rsidP="00AA1870">
      <w:pPr>
        <w:rPr>
          <w:b/>
          <w:bCs/>
        </w:rPr>
      </w:pPr>
      <w:r w:rsidRPr="00874FF7">
        <w:rPr>
          <w:b/>
          <w:bCs/>
        </w:rPr>
        <w:t xml:space="preserve">Proposal </w:t>
      </w:r>
      <w:r>
        <w:rPr>
          <w:b/>
          <w:bCs/>
        </w:rPr>
        <w:t>1.2</w:t>
      </w:r>
      <w:r w:rsidRPr="00874FF7">
        <w:rPr>
          <w:b/>
          <w:bCs/>
        </w:rPr>
        <w:t xml:space="preserve">: </w:t>
      </w:r>
      <w:r w:rsidR="004F5EC0">
        <w:rPr>
          <w:b/>
          <w:bCs/>
        </w:rPr>
        <w:t>No PNI-NPN (</w:t>
      </w:r>
      <w:r w:rsidR="004F5EC0" w:rsidRPr="00874FF7">
        <w:rPr>
          <w:b/>
          <w:bCs/>
        </w:rPr>
        <w:t>CAG ID</w:t>
      </w:r>
      <w:r w:rsidR="004F5EC0">
        <w:rPr>
          <w:b/>
          <w:bCs/>
        </w:rPr>
        <w:t>) should be added to</w:t>
      </w:r>
      <w:r w:rsidRPr="00874FF7">
        <w:rPr>
          <w:b/>
          <w:bCs/>
        </w:rPr>
        <w:t xml:space="preserve"> </w:t>
      </w:r>
      <w:r>
        <w:rPr>
          <w:b/>
          <w:bCs/>
        </w:rPr>
        <w:t xml:space="preserve">the </w:t>
      </w:r>
      <w:r w:rsidRPr="00180EB7">
        <w:rPr>
          <w:b/>
          <w:bCs/>
        </w:rPr>
        <w:t>logged MDT reports</w:t>
      </w:r>
      <w:r>
        <w:rPr>
          <w:b/>
          <w:bCs/>
        </w:rPr>
        <w:t>.</w:t>
      </w:r>
    </w:p>
    <w:p w14:paraId="200E6FAE" w14:textId="1BF12450" w:rsidR="00BD3D0F" w:rsidRDefault="00BD3D0F" w:rsidP="00BD3D0F">
      <w:r>
        <w:t>The CAG memberships of the UE influence the UE and network behaviour (e.g., during cell reselection, or the target cell selection at HO) and this may impact the service quality (e.g., delays and failures experienced during HOs). Therefore, we think that the CAG membership status may be relevant information in different SON/MDT reports. The status should indicate if the UE has subscription with any of the CAG IDs broadcast by the cell, and whether the UE only allowed to access CAG cells.</w:t>
      </w:r>
    </w:p>
    <w:p w14:paraId="69F46F1E" w14:textId="5AFD0B43" w:rsidR="00BD3D0F" w:rsidRPr="00874FF7" w:rsidRDefault="00BD3D0F" w:rsidP="00BD3D0F">
      <w:pPr>
        <w:rPr>
          <w:b/>
          <w:bCs/>
        </w:rPr>
      </w:pPr>
      <w:r w:rsidRPr="00874FF7">
        <w:rPr>
          <w:b/>
          <w:bCs/>
        </w:rPr>
        <w:t xml:space="preserve">Proposal </w:t>
      </w:r>
      <w:r>
        <w:rPr>
          <w:b/>
          <w:bCs/>
        </w:rPr>
        <w:t>1.3</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6157D399" w14:textId="4AD1375D" w:rsidR="00BD3D0F" w:rsidRPr="00874FF7" w:rsidRDefault="00BD3D0F" w:rsidP="00BD3D0F">
      <w:pPr>
        <w:rPr>
          <w:b/>
          <w:bCs/>
        </w:rPr>
      </w:pPr>
      <w:r w:rsidRPr="00874FF7">
        <w:rPr>
          <w:b/>
          <w:bCs/>
        </w:rPr>
        <w:t xml:space="preserve">Proposal </w:t>
      </w:r>
      <w:r>
        <w:rPr>
          <w:b/>
          <w:bCs/>
        </w:rPr>
        <w:t>1.4</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874FF7">
        <w:rPr>
          <w:b/>
          <w:bCs/>
        </w:rPr>
        <w:t xml:space="preserve"> </w:t>
      </w:r>
      <w:r>
        <w:rPr>
          <w:b/>
          <w:bCs/>
        </w:rPr>
        <w:t xml:space="preserve">the </w:t>
      </w:r>
      <w:r w:rsidRPr="00180EB7">
        <w:rPr>
          <w:b/>
          <w:bCs/>
        </w:rPr>
        <w:t>logged MDT reports</w:t>
      </w:r>
      <w:r>
        <w:rPr>
          <w:b/>
          <w:bCs/>
        </w:rPr>
        <w:t>.</w:t>
      </w:r>
    </w:p>
    <w:p w14:paraId="3EF071CC" w14:textId="3E1C4BF6" w:rsidR="00BE250B" w:rsidRDefault="00BE250B" w:rsidP="00BE250B">
      <w:r>
        <w:t>As in the previous part of the discussion it was clarified that reports correlated to PNI-NPN access should be handled in the same way as normal reports of the PLMN, and in some cases it is not clear if a report belongs to PNI-NPN or the normal PLMN access, we do not see a technical reason to store those reports separately.</w:t>
      </w:r>
    </w:p>
    <w:p w14:paraId="5951D420" w14:textId="5745D1BC" w:rsidR="00BE250B" w:rsidRPr="00F77410" w:rsidRDefault="00BE250B" w:rsidP="00BE250B">
      <w:pPr>
        <w:pStyle w:val="BodyText"/>
        <w:spacing w:before="120"/>
        <w:rPr>
          <w:rFonts w:eastAsia="SimSun"/>
          <w:b/>
          <w:lang w:val="en-GB" w:eastAsia="zh-CN"/>
        </w:rPr>
      </w:pPr>
      <w:r>
        <w:rPr>
          <w:rFonts w:eastAsia="SimSun"/>
          <w:b/>
          <w:lang w:val="en-GB" w:eastAsia="zh-CN"/>
        </w:rPr>
        <w:t>Proposal 1.</w:t>
      </w:r>
      <w:r w:rsidR="00BD3D0F">
        <w:rPr>
          <w:rFonts w:eastAsia="SimSun"/>
          <w:b/>
          <w:lang w:val="en-GB" w:eastAsia="zh-CN"/>
        </w:rPr>
        <w:t>5</w:t>
      </w:r>
      <w:r>
        <w:rPr>
          <w:rFonts w:eastAsia="SimSun"/>
          <w:b/>
          <w:lang w:val="en-GB" w:eastAsia="zh-CN"/>
        </w:rPr>
        <w:t>: Not</w:t>
      </w:r>
      <w:r w:rsidRPr="00F77410">
        <w:rPr>
          <w:rFonts w:eastAsia="SimSun"/>
          <w:b/>
          <w:lang w:val="en-GB" w:eastAsia="zh-CN"/>
        </w:rPr>
        <w:t xml:space="preserve"> to introduce new NPN specific variables for PNI-NPNs.</w:t>
      </w:r>
    </w:p>
    <w:p w14:paraId="5D7507A1" w14:textId="5DE26FC6" w:rsidR="00A43917" w:rsidRDefault="00A43917" w:rsidP="00A43917">
      <w:r>
        <w:t>It is possible that cells supporting certain CAG ID(s) cover some specific areas, e.g., a campus area. Therefore, it is a valid use-case that an operator would like to perform checking of the cells supporting certain CAG ID(s). To support this type of operation we think that the use of CAG ID(s) in area configuration would be beneficial.</w:t>
      </w:r>
      <w:r w:rsidR="00261FD1">
        <w:t xml:space="preserve"> RAN3 also assumes the use of PNI-NPN</w:t>
      </w:r>
      <w:r w:rsidR="002E35B9">
        <w:t xml:space="preserve"> in the area scope</w:t>
      </w:r>
      <w:r w:rsidR="00261FD1">
        <w:t xml:space="preserve">, see </w:t>
      </w:r>
      <w:hyperlink r:id="rId12" w:history="1">
        <w:r w:rsidR="00261FD1">
          <w:rPr>
            <w:rStyle w:val="Hyperlink"/>
          </w:rPr>
          <w:t>R3-232027</w:t>
        </w:r>
      </w:hyperlink>
      <w:r w:rsidR="002E35B9">
        <w:t xml:space="preserve">, and </w:t>
      </w:r>
      <w:r w:rsidR="001704DA">
        <w:t>R</w:t>
      </w:r>
      <w:hyperlink r:id="rId13" w:history="1">
        <w:r w:rsidR="002E35B9">
          <w:rPr>
            <w:rStyle w:val="Hyperlink"/>
          </w:rPr>
          <w:t>3-232091</w:t>
        </w:r>
      </w:hyperlink>
      <w:r w:rsidR="002E35B9">
        <w:t>.</w:t>
      </w:r>
    </w:p>
    <w:p w14:paraId="311D3875" w14:textId="5091EEFE" w:rsidR="00A43917" w:rsidRPr="00151654" w:rsidRDefault="00A43917" w:rsidP="00A43917">
      <w:pPr>
        <w:pStyle w:val="BodyText"/>
        <w:spacing w:before="120"/>
        <w:rPr>
          <w:rFonts w:eastAsia="SimSun"/>
          <w:b/>
          <w:lang w:val="en-GB" w:eastAsia="zh-CN"/>
        </w:rPr>
      </w:pPr>
      <w:r>
        <w:rPr>
          <w:rFonts w:eastAsia="SimSun"/>
          <w:b/>
          <w:lang w:val="en-GB" w:eastAsia="zh-CN"/>
        </w:rPr>
        <w:t>Proposal</w:t>
      </w:r>
      <w:r>
        <w:rPr>
          <w:rFonts w:eastAsia="SimSun" w:hint="eastAsia"/>
          <w:b/>
          <w:lang w:val="en-GB" w:eastAsia="zh-CN"/>
        </w:rPr>
        <w:t xml:space="preserve"> </w:t>
      </w:r>
      <w:r w:rsidR="00C538A8">
        <w:rPr>
          <w:rFonts w:eastAsia="SimSun"/>
          <w:b/>
          <w:lang w:val="en-GB" w:eastAsia="zh-CN"/>
        </w:rPr>
        <w:t>1</w:t>
      </w:r>
      <w:r>
        <w:rPr>
          <w:rFonts w:eastAsia="SimSun"/>
          <w:b/>
          <w:lang w:val="en-GB" w:eastAsia="zh-CN"/>
        </w:rPr>
        <w:t>.</w:t>
      </w:r>
      <w:r w:rsidR="00503699">
        <w:rPr>
          <w:rFonts w:eastAsia="SimSun"/>
          <w:b/>
          <w:lang w:val="en-GB" w:eastAsia="zh-CN"/>
        </w:rPr>
        <w:t>6</w:t>
      </w:r>
      <w:r>
        <w:rPr>
          <w:rFonts w:eastAsia="SimSun" w:hint="eastAsia"/>
          <w:b/>
          <w:lang w:val="en-GB" w:eastAsia="zh-CN"/>
        </w:rPr>
        <w:t>:</w:t>
      </w:r>
      <w:r>
        <w:rPr>
          <w:rFonts w:eastAsia="SimSun"/>
          <w:b/>
          <w:lang w:val="en-GB" w:eastAsia="zh-CN"/>
        </w:rPr>
        <w:t xml:space="preserve"> </w:t>
      </w:r>
      <w:r>
        <w:rPr>
          <w:rFonts w:eastAsia="SimSun" w:hint="eastAsia"/>
          <w:b/>
          <w:lang w:val="en-GB" w:eastAsia="zh-CN"/>
        </w:rPr>
        <w:t xml:space="preserve">Add </w:t>
      </w:r>
      <w:r>
        <w:rPr>
          <w:rFonts w:eastAsia="SimSun"/>
          <w:b/>
          <w:lang w:val="en-GB" w:eastAsia="zh-CN"/>
        </w:rPr>
        <w:t>CAG ID</w:t>
      </w:r>
      <w:r>
        <w:rPr>
          <w:rFonts w:eastAsia="SimSun" w:hint="eastAsia"/>
          <w:b/>
          <w:lang w:val="en-GB" w:eastAsia="zh-CN"/>
        </w:rPr>
        <w:t xml:space="preserve"> in the area configuration for logged MDT.</w:t>
      </w:r>
    </w:p>
    <w:p w14:paraId="196BC00A" w14:textId="77777777" w:rsidR="00A43917" w:rsidRDefault="00F77410" w:rsidP="00F77410">
      <w:pPr>
        <w:pStyle w:val="Heading2"/>
      </w:pPr>
      <w:r>
        <w:t>2.</w:t>
      </w:r>
      <w:r w:rsidR="006A0756">
        <w:t>2</w:t>
      </w:r>
      <w:r>
        <w:tab/>
      </w:r>
      <w:r w:rsidR="00A43917">
        <w:t>SNPNs from SON/MDT perspective</w:t>
      </w:r>
    </w:p>
    <w:p w14:paraId="768A0E74" w14:textId="28FDE0A3" w:rsidR="002F445B" w:rsidRDefault="002F445B" w:rsidP="005835AA">
      <w:pPr>
        <w:rPr>
          <w:bCs/>
          <w:color w:val="000000" w:themeColor="text1"/>
        </w:rPr>
      </w:pPr>
      <w:r w:rsidRPr="002F445B">
        <w:t>SNPNs may use shared PLMN ID, and the PLMN ID and the NID together can identify an SNPN</w:t>
      </w:r>
      <w:r>
        <w:t xml:space="preserve">. This is the main reason that RAN2 has agreed to introduce </w:t>
      </w:r>
      <w:r w:rsidRPr="00423D87">
        <w:t>SPNP ID (e.g., NID) to RLF/HOF report</w:t>
      </w:r>
      <w:r>
        <w:t xml:space="preserve"> (RAN2#120) and </w:t>
      </w:r>
      <w:r w:rsidRPr="00241225">
        <w:t xml:space="preserve">SNPN ID </w:t>
      </w:r>
      <w:r>
        <w:t xml:space="preserve">(e.g., </w:t>
      </w:r>
      <w:r w:rsidRPr="001E6DFF">
        <w:rPr>
          <w:bCs/>
          <w:color w:val="000000" w:themeColor="text1"/>
        </w:rPr>
        <w:t>NID ID</w:t>
      </w:r>
      <w:r>
        <w:rPr>
          <w:bCs/>
          <w:color w:val="000000" w:themeColor="text1"/>
        </w:rPr>
        <w:t>)</w:t>
      </w:r>
      <w:r w:rsidRPr="001E6DFF">
        <w:rPr>
          <w:bCs/>
          <w:color w:val="000000" w:themeColor="text1"/>
        </w:rPr>
        <w:t xml:space="preserve"> checking before </w:t>
      </w:r>
      <w:r>
        <w:rPr>
          <w:bCs/>
          <w:color w:val="000000" w:themeColor="text1"/>
        </w:rPr>
        <w:t xml:space="preserve">sending the availability indication for </w:t>
      </w:r>
      <w:r w:rsidRPr="001E6DFF">
        <w:rPr>
          <w:bCs/>
          <w:color w:val="000000" w:themeColor="text1"/>
        </w:rPr>
        <w:t>corresponding SON and MDT report</w:t>
      </w:r>
      <w:r>
        <w:rPr>
          <w:bCs/>
          <w:color w:val="000000" w:themeColor="text1"/>
        </w:rPr>
        <w:t xml:space="preserve"> (RAN2#119bis). The same reason is valid for logged MDT reports, i.e., without adding the SNPN (NID) ID to those reports, it cannot be identified the network the report belongs to. </w:t>
      </w:r>
    </w:p>
    <w:p w14:paraId="50781D0E" w14:textId="4B8EFAA2" w:rsidR="002F445B" w:rsidRPr="002F445B" w:rsidRDefault="002F445B" w:rsidP="005835AA">
      <w:r>
        <w:t xml:space="preserve">Moreover, the previous agreement that the UE shall perform </w:t>
      </w:r>
      <w:r w:rsidR="00317009">
        <w:t xml:space="preserve">SNPN ID checking </w:t>
      </w:r>
      <w:r w:rsidRPr="001E6DFF">
        <w:rPr>
          <w:bCs/>
          <w:color w:val="000000" w:themeColor="text1"/>
        </w:rPr>
        <w:t xml:space="preserve">before </w:t>
      </w:r>
      <w:r>
        <w:rPr>
          <w:bCs/>
          <w:color w:val="000000" w:themeColor="text1"/>
        </w:rPr>
        <w:t xml:space="preserve">sending the availability indication for </w:t>
      </w:r>
      <w:r w:rsidRPr="001E6DFF">
        <w:rPr>
          <w:bCs/>
          <w:color w:val="000000" w:themeColor="text1"/>
        </w:rPr>
        <w:t>corresponding SON and MDT report</w:t>
      </w:r>
      <w:r w:rsidR="00317009">
        <w:rPr>
          <w:bCs/>
          <w:color w:val="000000" w:themeColor="text1"/>
        </w:rPr>
        <w:t xml:space="preserve"> cannot be performed if the SNPN (NID) ID is not included in the logged MDT report. There we propose to i</w:t>
      </w:r>
      <w:r w:rsidR="00317009" w:rsidRPr="00317009">
        <w:rPr>
          <w:bCs/>
          <w:color w:val="000000" w:themeColor="text1"/>
        </w:rPr>
        <w:t>nclude the SPNP ID (PLMN ID and NID) into the logged MDT report</w:t>
      </w:r>
      <w:r w:rsidR="00317009">
        <w:rPr>
          <w:bCs/>
          <w:color w:val="000000" w:themeColor="text1"/>
        </w:rPr>
        <w:t>.</w:t>
      </w:r>
    </w:p>
    <w:p w14:paraId="5B9AF858" w14:textId="1F662EB0" w:rsidR="00A43917" w:rsidRPr="00F77410" w:rsidRDefault="00A43917" w:rsidP="00A43917">
      <w:pPr>
        <w:pStyle w:val="BodyText"/>
        <w:spacing w:before="120"/>
        <w:rPr>
          <w:rFonts w:eastAsia="SimSun"/>
          <w:b/>
          <w:lang w:val="en-GB" w:eastAsia="zh-CN"/>
        </w:rPr>
      </w:pPr>
      <w:r>
        <w:rPr>
          <w:rFonts w:eastAsia="SimSun"/>
          <w:b/>
          <w:lang w:val="en-GB" w:eastAsia="zh-CN"/>
        </w:rPr>
        <w:t xml:space="preserve">Proposal </w:t>
      </w:r>
      <w:r w:rsidR="00BE250B">
        <w:rPr>
          <w:rFonts w:eastAsia="SimSun"/>
          <w:b/>
          <w:lang w:val="en-GB" w:eastAsia="zh-CN"/>
        </w:rPr>
        <w:t>2.1</w:t>
      </w:r>
      <w:r>
        <w:rPr>
          <w:rFonts w:eastAsia="SimSun"/>
          <w:b/>
          <w:lang w:val="en-GB" w:eastAsia="zh-CN"/>
        </w:rPr>
        <w:t xml:space="preserve">: </w:t>
      </w:r>
      <w:r w:rsidRPr="00F77410">
        <w:rPr>
          <w:rFonts w:eastAsia="SimSun"/>
          <w:b/>
          <w:lang w:val="en-GB" w:eastAsia="zh-CN"/>
        </w:rPr>
        <w:t>In</w:t>
      </w:r>
      <w:r w:rsidR="00317009">
        <w:rPr>
          <w:rFonts w:eastAsia="SimSun"/>
          <w:b/>
          <w:lang w:val="en-GB" w:eastAsia="zh-CN"/>
        </w:rPr>
        <w:t>clude the</w:t>
      </w:r>
      <w:r w:rsidRPr="00F77410">
        <w:rPr>
          <w:rFonts w:eastAsia="SimSun"/>
          <w:b/>
          <w:lang w:val="en-GB" w:eastAsia="zh-CN"/>
        </w:rPr>
        <w:t xml:space="preserve"> SPNP </w:t>
      </w:r>
      <w:r w:rsidR="00317009" w:rsidRPr="00F77410">
        <w:rPr>
          <w:rFonts w:eastAsia="SimSun"/>
          <w:b/>
          <w:lang w:val="en-GB" w:eastAsia="zh-CN"/>
        </w:rPr>
        <w:t>ID</w:t>
      </w:r>
      <w:r w:rsidR="00317009">
        <w:rPr>
          <w:rFonts w:eastAsia="SimSun"/>
          <w:b/>
          <w:lang w:val="en-GB" w:eastAsia="zh-CN"/>
        </w:rPr>
        <w:t xml:space="preserve"> </w:t>
      </w:r>
      <w:r w:rsidR="002F445B">
        <w:rPr>
          <w:rFonts w:eastAsia="SimSun"/>
          <w:b/>
          <w:lang w:val="en-GB" w:eastAsia="zh-CN"/>
        </w:rPr>
        <w:t>(</w:t>
      </w:r>
      <w:r w:rsidR="00317009">
        <w:rPr>
          <w:rFonts w:eastAsia="SimSun"/>
          <w:b/>
          <w:lang w:val="en-GB" w:eastAsia="zh-CN"/>
        </w:rPr>
        <w:t xml:space="preserve">PLMN ID and </w:t>
      </w:r>
      <w:r w:rsidR="002F445B">
        <w:rPr>
          <w:rFonts w:eastAsia="SimSun"/>
          <w:b/>
          <w:lang w:val="en-GB" w:eastAsia="zh-CN"/>
        </w:rPr>
        <w:t>NID) in</w:t>
      </w:r>
      <w:r w:rsidRPr="00F77410">
        <w:rPr>
          <w:rFonts w:eastAsia="SimSun"/>
          <w:b/>
          <w:lang w:val="en-GB" w:eastAsia="zh-CN"/>
        </w:rPr>
        <w:t xml:space="preserve">to </w:t>
      </w:r>
      <w:r w:rsidR="002F445B">
        <w:rPr>
          <w:rFonts w:eastAsia="SimSun"/>
          <w:b/>
          <w:lang w:val="en-GB" w:eastAsia="zh-CN"/>
        </w:rPr>
        <w:t xml:space="preserve">the </w:t>
      </w:r>
      <w:r w:rsidRPr="00F77410">
        <w:rPr>
          <w:rFonts w:eastAsia="SimSun"/>
          <w:b/>
          <w:lang w:val="en-GB" w:eastAsia="zh-CN"/>
        </w:rPr>
        <w:t xml:space="preserve">logged MDT report. </w:t>
      </w:r>
    </w:p>
    <w:p w14:paraId="63D06F9B" w14:textId="766211C2" w:rsidR="00317009" w:rsidRPr="00317009" w:rsidRDefault="00317009" w:rsidP="00BE250B">
      <w:r w:rsidRPr="00317009">
        <w:t xml:space="preserve">Due to </w:t>
      </w:r>
      <w:r>
        <w:t>the</w:t>
      </w:r>
      <w:r w:rsidRPr="00317009">
        <w:t xml:space="preserve"> SNPN identification issue </w:t>
      </w:r>
      <w:r>
        <w:t xml:space="preserve">(SNPNs cannot be identified based on a PLMN ID) </w:t>
      </w:r>
      <w:r w:rsidRPr="00317009">
        <w:t xml:space="preserve">discussed </w:t>
      </w:r>
      <w:r>
        <w:t xml:space="preserve">above </w:t>
      </w:r>
      <w:r w:rsidRPr="00317009">
        <w:t xml:space="preserve">if the logged MDT configuration does not include the SNPN ID, then it is ambiguous </w:t>
      </w:r>
      <w:r>
        <w:t xml:space="preserve">for which network the configuration belongs to. </w:t>
      </w:r>
      <w:r>
        <w:rPr>
          <w:bCs/>
          <w:color w:val="000000" w:themeColor="text1"/>
        </w:rPr>
        <w:t>There we propose to i</w:t>
      </w:r>
      <w:r w:rsidRPr="00317009">
        <w:rPr>
          <w:bCs/>
          <w:color w:val="000000" w:themeColor="text1"/>
        </w:rPr>
        <w:t xml:space="preserve">nclude the SPNP ID (PLMN ID and NID) into the logged MDT </w:t>
      </w:r>
      <w:r>
        <w:rPr>
          <w:bCs/>
          <w:color w:val="000000" w:themeColor="text1"/>
        </w:rPr>
        <w:t>configuration.</w:t>
      </w:r>
      <w:r w:rsidRPr="00317009">
        <w:t xml:space="preserve"> </w:t>
      </w:r>
    </w:p>
    <w:p w14:paraId="45127796" w14:textId="067B9CBD" w:rsidR="00F77410" w:rsidRPr="005835AA" w:rsidRDefault="00F77410" w:rsidP="00F77410">
      <w:pPr>
        <w:rPr>
          <w:b/>
          <w:bCs/>
        </w:rPr>
      </w:pPr>
      <w:r w:rsidRPr="005835AA">
        <w:rPr>
          <w:b/>
          <w:bCs/>
        </w:rPr>
        <w:t xml:space="preserve">Proposal </w:t>
      </w:r>
      <w:r w:rsidR="005835AA" w:rsidRPr="005835AA">
        <w:rPr>
          <w:b/>
          <w:bCs/>
        </w:rPr>
        <w:t>2</w:t>
      </w:r>
      <w:r w:rsidRPr="005835AA">
        <w:rPr>
          <w:b/>
          <w:bCs/>
        </w:rPr>
        <w:t>.</w:t>
      </w:r>
      <w:r w:rsidR="005835AA" w:rsidRPr="005835AA">
        <w:rPr>
          <w:b/>
          <w:bCs/>
        </w:rPr>
        <w:t>2</w:t>
      </w:r>
      <w:r w:rsidRPr="005835AA">
        <w:rPr>
          <w:b/>
          <w:bCs/>
        </w:rPr>
        <w:t xml:space="preserve">: </w:t>
      </w:r>
      <w:r w:rsidR="00317009" w:rsidRPr="00F77410">
        <w:rPr>
          <w:rFonts w:eastAsia="SimSun"/>
          <w:b/>
          <w:lang w:eastAsia="zh-CN"/>
        </w:rPr>
        <w:t>In</w:t>
      </w:r>
      <w:r w:rsidR="00317009">
        <w:rPr>
          <w:rFonts w:eastAsia="SimSun"/>
          <w:b/>
          <w:lang w:eastAsia="zh-CN"/>
        </w:rPr>
        <w:t>clude the</w:t>
      </w:r>
      <w:r w:rsidR="00317009" w:rsidRPr="00F77410">
        <w:rPr>
          <w:rFonts w:eastAsia="SimSun"/>
          <w:b/>
          <w:lang w:eastAsia="zh-CN"/>
        </w:rPr>
        <w:t xml:space="preserve"> SPNP ID</w:t>
      </w:r>
      <w:r w:rsidR="00317009">
        <w:rPr>
          <w:rFonts w:eastAsia="SimSun"/>
          <w:b/>
          <w:lang w:eastAsia="zh-CN"/>
        </w:rPr>
        <w:t xml:space="preserve"> (PLMN ID and NID) in</w:t>
      </w:r>
      <w:r w:rsidR="00317009" w:rsidRPr="00F77410">
        <w:rPr>
          <w:rFonts w:eastAsia="SimSun"/>
          <w:b/>
          <w:lang w:eastAsia="zh-CN"/>
        </w:rPr>
        <w:t>to</w:t>
      </w:r>
      <w:r w:rsidRPr="005835AA">
        <w:rPr>
          <w:b/>
          <w:bCs/>
        </w:rPr>
        <w:t xml:space="preserve"> logged MDT configuration. </w:t>
      </w:r>
    </w:p>
    <w:p w14:paraId="7D065549" w14:textId="4B2A7153" w:rsidR="00A025B4" w:rsidRPr="00122691" w:rsidRDefault="00A025B4" w:rsidP="00A05D56">
      <w:pPr>
        <w:rPr>
          <w:b/>
          <w:bCs/>
          <w:u w:val="single"/>
        </w:rPr>
      </w:pPr>
      <w:r>
        <w:t xml:space="preserve">RAN3 sent an LS in </w:t>
      </w:r>
      <w:hyperlink r:id="rId14" w:history="1">
        <w:r>
          <w:t>R</w:t>
        </w:r>
        <w:r>
          <w:rPr>
            <w:rStyle w:val="Hyperlink"/>
          </w:rPr>
          <w:t>3-232118</w:t>
        </w:r>
      </w:hyperlink>
      <w:r>
        <w:t xml:space="preserve"> </w:t>
      </w:r>
      <w:r w:rsidR="00122691">
        <w:t xml:space="preserve">/ </w:t>
      </w:r>
      <w:hyperlink r:id="rId15" w:history="1">
        <w:r w:rsidR="00122691" w:rsidRPr="00122691">
          <w:rPr>
            <w:rStyle w:val="Hyperlink"/>
          </w:rPr>
          <w:t>R2-2304628</w:t>
        </w:r>
      </w:hyperlink>
      <w:r w:rsidR="00122691">
        <w:t xml:space="preserve"> </w:t>
      </w:r>
      <w:r>
        <w:t>asking whether stored logged MDT reports can be kept when a UE moves between a PLMN and an SNPN:</w:t>
      </w:r>
    </w:p>
    <w:p w14:paraId="7702D5BF" w14:textId="77777777" w:rsidR="00A025B4" w:rsidRDefault="00A025B4" w:rsidP="00A025B4">
      <w:pPr>
        <w:ind w:left="284"/>
        <w:rPr>
          <w:sz w:val="23"/>
          <w:szCs w:val="23"/>
        </w:rPr>
      </w:pPr>
      <w:r>
        <w:rPr>
          <w:rFonts w:eastAsia="SimSun"/>
          <w:lang w:eastAsia="en-GB"/>
        </w:rPr>
        <w:t>RAN3 would like to check with RAN2 if there are any solutions to avoid the loss of stored logged MDT reports upon moving from a network of one type to another type, even upon deregistration</w:t>
      </w:r>
    </w:p>
    <w:p w14:paraId="42CEF8F2" w14:textId="77777777" w:rsidR="00A025B4" w:rsidRDefault="00A025B4" w:rsidP="00A05D56">
      <w:r>
        <w:t>The obvious solution for this problem is to introduce separate logged MDT specific variable to store the reports for non-public networks. In this way the stored logged MDT reports for an SNPN are kept while the UE stays in any PLMN(s), and the stored logged MDT reports for a PLMN are kept when the UE stays in any SNPN(s). We understand that this may create additional storage requirements in the UE, and we are open to introduce some limitation to avoid UE implementation issues coming from the additional storage requirement if necessary.</w:t>
      </w:r>
    </w:p>
    <w:p w14:paraId="19313FCC" w14:textId="6036DA92" w:rsidR="00A025B4" w:rsidRPr="00151654" w:rsidRDefault="00A025B4" w:rsidP="00A025B4">
      <w:pPr>
        <w:pStyle w:val="BodyText"/>
        <w:spacing w:before="120"/>
        <w:rPr>
          <w:rFonts w:eastAsia="SimSun"/>
          <w:b/>
          <w:lang w:val="en-GB" w:eastAsia="zh-CN"/>
        </w:rPr>
      </w:pPr>
      <w:r>
        <w:rPr>
          <w:rFonts w:eastAsia="SimSun"/>
          <w:b/>
          <w:lang w:val="en-GB" w:eastAsia="zh-CN"/>
        </w:rPr>
        <w:t>Proposal 2.3: I</w:t>
      </w:r>
      <w:r w:rsidRPr="00F77410">
        <w:rPr>
          <w:rFonts w:eastAsia="SimSun"/>
          <w:b/>
          <w:lang w:val="en-GB" w:eastAsia="zh-CN"/>
        </w:rPr>
        <w:t xml:space="preserve">ntroduce </w:t>
      </w:r>
      <w:r w:rsidR="0007148F">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Pr="00F77410">
        <w:rPr>
          <w:rFonts w:eastAsia="SimSun"/>
          <w:b/>
          <w:lang w:val="en-GB" w:eastAsia="zh-CN"/>
        </w:rPr>
        <w:t>.</w:t>
      </w:r>
      <w:r>
        <w:rPr>
          <w:rFonts w:eastAsia="SimSun"/>
          <w:b/>
          <w:lang w:val="en-GB" w:eastAsia="zh-CN"/>
        </w:rPr>
        <w:t xml:space="preserve"> FFS if the introduction of any storage limitation is needed.</w:t>
      </w:r>
    </w:p>
    <w:p w14:paraId="64B2FFCA" w14:textId="3D29A464" w:rsidR="00F77410" w:rsidRDefault="006E0F05" w:rsidP="00F77410">
      <w:r>
        <w:t>If the above proposal is agreed</w:t>
      </w:r>
      <w:r w:rsidR="00200E20">
        <w:t>,</w:t>
      </w:r>
      <w:r>
        <w:t xml:space="preserve"> then we think that a reply LS to RAN3 is needed with the solution.</w:t>
      </w:r>
    </w:p>
    <w:p w14:paraId="548985BC" w14:textId="709AF108" w:rsidR="006E0F05" w:rsidRPr="00151654" w:rsidRDefault="006E0F05" w:rsidP="006E0F05">
      <w:pPr>
        <w:pStyle w:val="BodyText"/>
        <w:spacing w:before="120"/>
        <w:rPr>
          <w:rFonts w:eastAsia="SimSun"/>
          <w:b/>
          <w:lang w:val="en-GB" w:eastAsia="zh-CN"/>
        </w:rPr>
      </w:pPr>
      <w:r>
        <w:rPr>
          <w:rFonts w:eastAsia="SimSun"/>
          <w:b/>
          <w:lang w:val="en-GB" w:eastAsia="zh-CN"/>
        </w:rPr>
        <w:t xml:space="preserve">Proposal 2.4: Send a reply LS to </w:t>
      </w:r>
      <w:r w:rsidR="005935B1">
        <w:rPr>
          <w:rFonts w:eastAsia="SimSun"/>
          <w:b/>
          <w:lang w:val="en-GB" w:eastAsia="zh-CN"/>
        </w:rPr>
        <w:t xml:space="preserve">RAN3 LS in </w:t>
      </w:r>
      <w:r w:rsidR="005935B1" w:rsidRPr="005935B1">
        <w:rPr>
          <w:rFonts w:eastAsia="SimSun"/>
          <w:b/>
          <w:lang w:val="en-GB" w:eastAsia="zh-CN"/>
        </w:rPr>
        <w:t>R3-232118</w:t>
      </w:r>
      <w:r w:rsidR="005935B1">
        <w:rPr>
          <w:rFonts w:eastAsia="SimSun"/>
          <w:b/>
          <w:lang w:val="en-GB" w:eastAsia="zh-CN"/>
        </w:rPr>
        <w:t xml:space="preserve"> that RAN2 agreed to i</w:t>
      </w:r>
      <w:r w:rsidRPr="00F77410">
        <w:rPr>
          <w:rFonts w:eastAsia="SimSun"/>
          <w:b/>
          <w:lang w:val="en-GB" w:eastAsia="zh-CN"/>
        </w:rPr>
        <w:t xml:space="preserve">ntroduce </w:t>
      </w:r>
      <w:r w:rsidR="005935B1">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005935B1">
        <w:rPr>
          <w:rFonts w:eastAsia="SimSun"/>
          <w:b/>
          <w:lang w:val="en-GB" w:eastAsia="zh-CN"/>
        </w:rPr>
        <w:t>, which enables keeping the logged MDT report when the UE move</w:t>
      </w:r>
      <w:r w:rsidR="0007148F">
        <w:rPr>
          <w:rFonts w:eastAsia="SimSun"/>
          <w:b/>
          <w:lang w:val="en-GB" w:eastAsia="zh-CN"/>
        </w:rPr>
        <w:t>s</w:t>
      </w:r>
      <w:r w:rsidR="005935B1">
        <w:rPr>
          <w:rFonts w:eastAsia="SimSun"/>
          <w:b/>
          <w:lang w:val="en-GB" w:eastAsia="zh-CN"/>
        </w:rPr>
        <w:t xml:space="preserve"> from one network type to another network type</w:t>
      </w:r>
      <w:r w:rsidRPr="00F77410">
        <w:rPr>
          <w:rFonts w:eastAsia="SimSun"/>
          <w:b/>
          <w:lang w:val="en-GB" w:eastAsia="zh-CN"/>
        </w:rPr>
        <w:t>.</w:t>
      </w:r>
      <w:r>
        <w:rPr>
          <w:rFonts w:eastAsia="SimSun"/>
          <w:b/>
          <w:lang w:val="en-GB" w:eastAsia="zh-CN"/>
        </w:rPr>
        <w:t xml:space="preserve"> </w:t>
      </w:r>
      <w:r w:rsidR="009474D5">
        <w:rPr>
          <w:rFonts w:eastAsia="SimSun"/>
          <w:b/>
          <w:lang w:val="en-GB" w:eastAsia="zh-CN"/>
        </w:rPr>
        <w:t>(See draft reply L Sin the Annex.)</w:t>
      </w:r>
    </w:p>
    <w:p w14:paraId="69B7B8E6" w14:textId="69E07FC9" w:rsidR="009339CB" w:rsidRPr="006E13D1" w:rsidRDefault="005A13AB" w:rsidP="009339CB">
      <w:pPr>
        <w:pStyle w:val="Heading1"/>
      </w:pPr>
      <w:r>
        <w:t>3</w:t>
      </w:r>
      <w:r w:rsidR="009339CB" w:rsidRPr="006E13D1">
        <w:tab/>
      </w:r>
      <w:r w:rsidR="009339CB">
        <w:t>Conclusion</w:t>
      </w:r>
    </w:p>
    <w:p w14:paraId="6E24B0F4" w14:textId="5085FC4E" w:rsidR="009339CB" w:rsidRPr="006E13D1" w:rsidRDefault="009339CB" w:rsidP="009339CB">
      <w:r>
        <w:t>This document has made the following observations</w:t>
      </w:r>
      <w:r w:rsidR="00F86E60">
        <w:t xml:space="preserve"> and proposals</w:t>
      </w:r>
      <w:r>
        <w:t>:</w:t>
      </w:r>
    </w:p>
    <w:p w14:paraId="10C5DD14" w14:textId="77777777" w:rsidR="0062645C" w:rsidRPr="00CB2685" w:rsidRDefault="0062645C" w:rsidP="0062645C">
      <w:pPr>
        <w:rPr>
          <w:b/>
          <w:bCs/>
        </w:rPr>
      </w:pPr>
      <w:r w:rsidRPr="00CB2685">
        <w:rPr>
          <w:b/>
          <w:bCs/>
        </w:rPr>
        <w:t xml:space="preserve">Observation </w:t>
      </w:r>
      <w:r>
        <w:rPr>
          <w:b/>
          <w:bCs/>
        </w:rPr>
        <w:t>1.1</w:t>
      </w:r>
      <w:r w:rsidRPr="00CB2685">
        <w:rPr>
          <w:b/>
          <w:bCs/>
        </w:rPr>
        <w:t xml:space="preserve">: </w:t>
      </w:r>
      <w:r>
        <w:rPr>
          <w:b/>
          <w:bCs/>
        </w:rPr>
        <w:t xml:space="preserve">Cells advertising </w:t>
      </w:r>
      <w:r w:rsidRPr="00CB2685">
        <w:rPr>
          <w:b/>
          <w:bCs/>
        </w:rPr>
        <w:t>CAG ID</w:t>
      </w:r>
      <w:r>
        <w:rPr>
          <w:b/>
          <w:bCs/>
          <w:lang w:val="en-US"/>
        </w:rPr>
        <w:t>(s) are part of a PLMN</w:t>
      </w:r>
      <w:r w:rsidRPr="00CB2685">
        <w:rPr>
          <w:b/>
          <w:bCs/>
        </w:rPr>
        <w:t>.</w:t>
      </w:r>
    </w:p>
    <w:p w14:paraId="1D0CD06B" w14:textId="77777777" w:rsidR="004122D6" w:rsidRDefault="004122D6" w:rsidP="004122D6">
      <w:pPr>
        <w:rPr>
          <w:b/>
          <w:bCs/>
        </w:rPr>
      </w:pPr>
      <w:r w:rsidRPr="00AA1870">
        <w:rPr>
          <w:b/>
          <w:bCs/>
        </w:rPr>
        <w:t xml:space="preserve">Observation </w:t>
      </w:r>
      <w:r>
        <w:rPr>
          <w:b/>
          <w:bCs/>
        </w:rPr>
        <w:t>1.2</w:t>
      </w:r>
      <w:r w:rsidRPr="00AA1870">
        <w:rPr>
          <w:b/>
          <w:bCs/>
        </w:rPr>
        <w:t xml:space="preserve">: </w:t>
      </w:r>
      <w:r>
        <w:rPr>
          <w:b/>
          <w:bCs/>
        </w:rPr>
        <w:t>N</w:t>
      </w:r>
      <w:r w:rsidRPr="00AA1870">
        <w:rPr>
          <w:b/>
          <w:bCs/>
        </w:rPr>
        <w:t xml:space="preserve">o PNI-NPN (CAG) ID </w:t>
      </w:r>
      <w:r>
        <w:rPr>
          <w:b/>
          <w:bCs/>
        </w:rPr>
        <w:t xml:space="preserve">in </w:t>
      </w:r>
      <w:r w:rsidRPr="00C538A8">
        <w:rPr>
          <w:b/>
          <w:bCs/>
        </w:rPr>
        <w:t xml:space="preserve">the RLF/HOF </w:t>
      </w:r>
      <w:r>
        <w:rPr>
          <w:b/>
          <w:bCs/>
        </w:rPr>
        <w:t xml:space="preserve">and logged MDT </w:t>
      </w:r>
      <w:r w:rsidRPr="00C538A8">
        <w:rPr>
          <w:b/>
          <w:bCs/>
        </w:rPr>
        <w:t>report</w:t>
      </w:r>
      <w:r>
        <w:rPr>
          <w:b/>
          <w:bCs/>
        </w:rPr>
        <w:t>s is needed in the UE to check if availability indication can be sent.</w:t>
      </w:r>
    </w:p>
    <w:p w14:paraId="5674A11A" w14:textId="77777777" w:rsidR="004122D6" w:rsidRDefault="004122D6" w:rsidP="004122D6">
      <w:pPr>
        <w:rPr>
          <w:b/>
          <w:bCs/>
        </w:rPr>
      </w:pPr>
      <w:r w:rsidRPr="00CB2685">
        <w:rPr>
          <w:b/>
          <w:bCs/>
        </w:rPr>
        <w:t xml:space="preserve">Observation </w:t>
      </w:r>
      <w:r>
        <w:rPr>
          <w:b/>
          <w:bCs/>
        </w:rPr>
        <w:t>1.3</w:t>
      </w:r>
      <w:r w:rsidRPr="00CB2685">
        <w:rPr>
          <w:b/>
          <w:bCs/>
        </w:rPr>
        <w:t xml:space="preserve">: </w:t>
      </w:r>
      <w:r>
        <w:rPr>
          <w:b/>
          <w:bCs/>
        </w:rPr>
        <w:t>If a UE can get access in a cell in multiple ways, then it is ambiguous whether the UE should add its CAG ID and which of its CAG IDs in the reports.</w:t>
      </w:r>
    </w:p>
    <w:p w14:paraId="07FF2DCF" w14:textId="77777777" w:rsidR="004122D6" w:rsidRPr="00874FF7" w:rsidRDefault="004122D6" w:rsidP="004122D6">
      <w:pPr>
        <w:rPr>
          <w:b/>
          <w:bCs/>
        </w:rPr>
      </w:pPr>
      <w:r w:rsidRPr="00874FF7">
        <w:rPr>
          <w:b/>
          <w:bCs/>
        </w:rPr>
        <w:t xml:space="preserve">Proposal </w:t>
      </w:r>
      <w:r>
        <w:rPr>
          <w:b/>
          <w:bCs/>
        </w:rPr>
        <w:t>1.1</w:t>
      </w:r>
      <w:r w:rsidRPr="00874FF7">
        <w:rPr>
          <w:b/>
          <w:bCs/>
        </w:rPr>
        <w:t xml:space="preserve">: </w:t>
      </w:r>
      <w:r>
        <w:rPr>
          <w:b/>
          <w:bCs/>
        </w:rPr>
        <w:t>No PNI-NPN (</w:t>
      </w:r>
      <w:r w:rsidRPr="00874FF7">
        <w:rPr>
          <w:b/>
          <w:bCs/>
        </w:rPr>
        <w:t>CAG ID</w:t>
      </w:r>
      <w:r>
        <w:rPr>
          <w:b/>
          <w:bCs/>
        </w:rPr>
        <w:t>) 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638D04DC" w14:textId="77777777" w:rsidR="004122D6" w:rsidRPr="00874FF7" w:rsidRDefault="004122D6" w:rsidP="004122D6">
      <w:pPr>
        <w:rPr>
          <w:b/>
          <w:bCs/>
        </w:rPr>
      </w:pPr>
      <w:r w:rsidRPr="00874FF7">
        <w:rPr>
          <w:b/>
          <w:bCs/>
        </w:rPr>
        <w:t xml:space="preserve">Proposal </w:t>
      </w:r>
      <w:r>
        <w:rPr>
          <w:b/>
          <w:bCs/>
        </w:rPr>
        <w:t>1.2</w:t>
      </w:r>
      <w:r w:rsidRPr="00874FF7">
        <w:rPr>
          <w:b/>
          <w:bCs/>
        </w:rPr>
        <w:t xml:space="preserve">: </w:t>
      </w:r>
      <w:r>
        <w:rPr>
          <w:b/>
          <w:bCs/>
        </w:rPr>
        <w:t>No PNI-NPN (</w:t>
      </w:r>
      <w:r w:rsidRPr="00874FF7">
        <w:rPr>
          <w:b/>
          <w:bCs/>
        </w:rPr>
        <w:t>CAG ID</w:t>
      </w:r>
      <w:r>
        <w:rPr>
          <w:b/>
          <w:bCs/>
        </w:rPr>
        <w:t>) should be added to</w:t>
      </w:r>
      <w:r w:rsidRPr="00874FF7">
        <w:rPr>
          <w:b/>
          <w:bCs/>
        </w:rPr>
        <w:t xml:space="preserve"> </w:t>
      </w:r>
      <w:r>
        <w:rPr>
          <w:b/>
          <w:bCs/>
        </w:rPr>
        <w:t xml:space="preserve">the </w:t>
      </w:r>
      <w:r w:rsidRPr="00180EB7">
        <w:rPr>
          <w:b/>
          <w:bCs/>
        </w:rPr>
        <w:t>logged MDT reports</w:t>
      </w:r>
      <w:r>
        <w:rPr>
          <w:b/>
          <w:bCs/>
        </w:rPr>
        <w:t>.</w:t>
      </w:r>
    </w:p>
    <w:p w14:paraId="56ED1EC4" w14:textId="77777777" w:rsidR="00503699" w:rsidRPr="00874FF7" w:rsidRDefault="00503699" w:rsidP="00503699">
      <w:pPr>
        <w:rPr>
          <w:b/>
          <w:bCs/>
        </w:rPr>
      </w:pPr>
      <w:r w:rsidRPr="00874FF7">
        <w:rPr>
          <w:b/>
          <w:bCs/>
        </w:rPr>
        <w:t xml:space="preserve">Proposal </w:t>
      </w:r>
      <w:r>
        <w:rPr>
          <w:b/>
          <w:bCs/>
        </w:rPr>
        <w:t>1.3</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180EB7">
        <w:rPr>
          <w:b/>
          <w:bCs/>
        </w:rPr>
        <w:t xml:space="preserve"> </w:t>
      </w:r>
      <w:r>
        <w:rPr>
          <w:b/>
          <w:bCs/>
        </w:rPr>
        <w:t xml:space="preserve">the </w:t>
      </w:r>
      <w:r w:rsidRPr="00180EB7">
        <w:rPr>
          <w:b/>
          <w:bCs/>
        </w:rPr>
        <w:t>RLF</w:t>
      </w:r>
      <w:r>
        <w:rPr>
          <w:b/>
          <w:bCs/>
        </w:rPr>
        <w:t>/HOF</w:t>
      </w:r>
      <w:r w:rsidRPr="00180EB7">
        <w:rPr>
          <w:b/>
          <w:bCs/>
        </w:rPr>
        <w:t xml:space="preserve"> reports</w:t>
      </w:r>
      <w:r>
        <w:rPr>
          <w:b/>
          <w:bCs/>
        </w:rPr>
        <w:t>.</w:t>
      </w:r>
    </w:p>
    <w:p w14:paraId="61C22CE7" w14:textId="77777777" w:rsidR="00503699" w:rsidRPr="00874FF7" w:rsidRDefault="00503699" w:rsidP="00503699">
      <w:pPr>
        <w:rPr>
          <w:b/>
          <w:bCs/>
        </w:rPr>
      </w:pPr>
      <w:r w:rsidRPr="00874FF7">
        <w:rPr>
          <w:b/>
          <w:bCs/>
        </w:rPr>
        <w:t xml:space="preserve">Proposal </w:t>
      </w:r>
      <w:r>
        <w:rPr>
          <w:b/>
          <w:bCs/>
        </w:rPr>
        <w:t>1.4</w:t>
      </w:r>
      <w:r w:rsidRPr="00874FF7">
        <w:rPr>
          <w:b/>
          <w:bCs/>
        </w:rPr>
        <w:t xml:space="preserve">: </w:t>
      </w:r>
      <w:r>
        <w:rPr>
          <w:b/>
          <w:bCs/>
        </w:rPr>
        <w:t>An indication of the UE CAG subscription statues (</w:t>
      </w:r>
      <w:r w:rsidRPr="00BD3D0F">
        <w:rPr>
          <w:b/>
          <w:bCs/>
        </w:rPr>
        <w:t xml:space="preserve">if the UE has subscription with any of the CAG IDs broadcast by the cell, and whether the </w:t>
      </w:r>
      <w:r>
        <w:rPr>
          <w:b/>
          <w:bCs/>
        </w:rPr>
        <w:t xml:space="preserve">UE </w:t>
      </w:r>
      <w:r w:rsidRPr="00BD3D0F">
        <w:rPr>
          <w:b/>
          <w:bCs/>
        </w:rPr>
        <w:t>only allowed to access CAG cells</w:t>
      </w:r>
      <w:r>
        <w:rPr>
          <w:b/>
          <w:bCs/>
        </w:rPr>
        <w:t>)</w:t>
      </w:r>
      <w:r w:rsidRPr="00BD3D0F">
        <w:rPr>
          <w:b/>
          <w:bCs/>
        </w:rPr>
        <w:t xml:space="preserve"> </w:t>
      </w:r>
      <w:r>
        <w:rPr>
          <w:b/>
          <w:bCs/>
        </w:rPr>
        <w:t>should be added to</w:t>
      </w:r>
      <w:r w:rsidRPr="00874FF7">
        <w:rPr>
          <w:b/>
          <w:bCs/>
        </w:rPr>
        <w:t xml:space="preserve"> </w:t>
      </w:r>
      <w:r>
        <w:rPr>
          <w:b/>
          <w:bCs/>
        </w:rPr>
        <w:t xml:space="preserve">the </w:t>
      </w:r>
      <w:r w:rsidRPr="00180EB7">
        <w:rPr>
          <w:b/>
          <w:bCs/>
        </w:rPr>
        <w:t>logged MDT reports</w:t>
      </w:r>
      <w:r>
        <w:rPr>
          <w:b/>
          <w:bCs/>
        </w:rPr>
        <w:t>.</w:t>
      </w:r>
    </w:p>
    <w:p w14:paraId="79419148" w14:textId="77777777" w:rsidR="00503699" w:rsidRPr="00F77410" w:rsidRDefault="00503699" w:rsidP="00503699">
      <w:pPr>
        <w:pStyle w:val="BodyText"/>
        <w:spacing w:before="120"/>
        <w:rPr>
          <w:rFonts w:eastAsia="SimSun"/>
          <w:b/>
          <w:lang w:val="en-GB" w:eastAsia="zh-CN"/>
        </w:rPr>
      </w:pPr>
      <w:r>
        <w:rPr>
          <w:rFonts w:eastAsia="SimSun"/>
          <w:b/>
          <w:lang w:val="en-GB" w:eastAsia="zh-CN"/>
        </w:rPr>
        <w:t>Proposal 1.5: Not</w:t>
      </w:r>
      <w:r w:rsidRPr="00F77410">
        <w:rPr>
          <w:rFonts w:eastAsia="SimSun"/>
          <w:b/>
          <w:lang w:val="en-GB" w:eastAsia="zh-CN"/>
        </w:rPr>
        <w:t xml:space="preserve"> to introduce new NPN specific variables for PNI-NPNs.</w:t>
      </w:r>
    </w:p>
    <w:p w14:paraId="436E76C2" w14:textId="1B489936" w:rsidR="00503699" w:rsidRPr="00151654" w:rsidRDefault="00503699" w:rsidP="00503699">
      <w:pPr>
        <w:pStyle w:val="BodyText"/>
        <w:spacing w:before="120"/>
        <w:rPr>
          <w:rFonts w:eastAsia="SimSun"/>
          <w:b/>
          <w:lang w:val="en-GB" w:eastAsia="zh-CN"/>
        </w:rPr>
      </w:pPr>
      <w:r>
        <w:rPr>
          <w:rFonts w:eastAsia="SimSun"/>
          <w:b/>
          <w:lang w:val="en-GB" w:eastAsia="zh-CN"/>
        </w:rPr>
        <w:t>Proposal</w:t>
      </w:r>
      <w:r>
        <w:rPr>
          <w:rFonts w:eastAsia="SimSun" w:hint="eastAsia"/>
          <w:b/>
          <w:lang w:val="en-GB" w:eastAsia="zh-CN"/>
        </w:rPr>
        <w:t xml:space="preserve"> </w:t>
      </w:r>
      <w:r>
        <w:rPr>
          <w:rFonts w:eastAsia="SimSun"/>
          <w:b/>
          <w:lang w:val="en-GB" w:eastAsia="zh-CN"/>
        </w:rPr>
        <w:t>1.6</w:t>
      </w:r>
      <w:r>
        <w:rPr>
          <w:rFonts w:eastAsia="SimSun" w:hint="eastAsia"/>
          <w:b/>
          <w:lang w:val="en-GB" w:eastAsia="zh-CN"/>
        </w:rPr>
        <w:t>:</w:t>
      </w:r>
      <w:r>
        <w:rPr>
          <w:rFonts w:eastAsia="SimSun"/>
          <w:b/>
          <w:lang w:val="en-GB" w:eastAsia="zh-CN"/>
        </w:rPr>
        <w:t xml:space="preserve"> </w:t>
      </w:r>
      <w:r>
        <w:rPr>
          <w:rFonts w:eastAsia="SimSun" w:hint="eastAsia"/>
          <w:b/>
          <w:lang w:val="en-GB" w:eastAsia="zh-CN"/>
        </w:rPr>
        <w:t xml:space="preserve">Add </w:t>
      </w:r>
      <w:r>
        <w:rPr>
          <w:rFonts w:eastAsia="SimSun"/>
          <w:b/>
          <w:lang w:val="en-GB" w:eastAsia="zh-CN"/>
        </w:rPr>
        <w:t>CAG ID</w:t>
      </w:r>
      <w:r>
        <w:rPr>
          <w:rFonts w:eastAsia="SimSun" w:hint="eastAsia"/>
          <w:b/>
          <w:lang w:val="en-GB" w:eastAsia="zh-CN"/>
        </w:rPr>
        <w:t xml:space="preserve"> in the area configuration for logged MDT.</w:t>
      </w:r>
    </w:p>
    <w:p w14:paraId="3B426F05" w14:textId="77777777" w:rsidR="00503699" w:rsidRPr="00F77410" w:rsidRDefault="00503699" w:rsidP="00503699">
      <w:pPr>
        <w:pStyle w:val="BodyText"/>
        <w:spacing w:before="120"/>
        <w:rPr>
          <w:rFonts w:eastAsia="SimSun"/>
          <w:b/>
          <w:lang w:val="en-GB" w:eastAsia="zh-CN"/>
        </w:rPr>
      </w:pPr>
      <w:r>
        <w:rPr>
          <w:rFonts w:eastAsia="SimSun"/>
          <w:b/>
          <w:lang w:val="en-GB" w:eastAsia="zh-CN"/>
        </w:rPr>
        <w:t xml:space="preserve">Proposal 2.1: </w:t>
      </w:r>
      <w:r w:rsidRPr="00F77410">
        <w:rPr>
          <w:rFonts w:eastAsia="SimSun"/>
          <w:b/>
          <w:lang w:val="en-GB" w:eastAsia="zh-CN"/>
        </w:rPr>
        <w:t>In</w:t>
      </w:r>
      <w:r>
        <w:rPr>
          <w:rFonts w:eastAsia="SimSun"/>
          <w:b/>
          <w:lang w:val="en-GB" w:eastAsia="zh-CN"/>
        </w:rPr>
        <w:t>clude the</w:t>
      </w:r>
      <w:r w:rsidRPr="00F77410">
        <w:rPr>
          <w:rFonts w:eastAsia="SimSun"/>
          <w:b/>
          <w:lang w:val="en-GB" w:eastAsia="zh-CN"/>
        </w:rPr>
        <w:t xml:space="preserve"> SPNP ID</w:t>
      </w:r>
      <w:r>
        <w:rPr>
          <w:rFonts w:eastAsia="SimSun"/>
          <w:b/>
          <w:lang w:val="en-GB" w:eastAsia="zh-CN"/>
        </w:rPr>
        <w:t xml:space="preserve"> (PLMN ID and NID) in</w:t>
      </w:r>
      <w:r w:rsidRPr="00F77410">
        <w:rPr>
          <w:rFonts w:eastAsia="SimSun"/>
          <w:b/>
          <w:lang w:val="en-GB" w:eastAsia="zh-CN"/>
        </w:rPr>
        <w:t xml:space="preserve">to </w:t>
      </w:r>
      <w:r>
        <w:rPr>
          <w:rFonts w:eastAsia="SimSun"/>
          <w:b/>
          <w:lang w:val="en-GB" w:eastAsia="zh-CN"/>
        </w:rPr>
        <w:t xml:space="preserve">the </w:t>
      </w:r>
      <w:r w:rsidRPr="00F77410">
        <w:rPr>
          <w:rFonts w:eastAsia="SimSun"/>
          <w:b/>
          <w:lang w:val="en-GB" w:eastAsia="zh-CN"/>
        </w:rPr>
        <w:t xml:space="preserve">logged MDT report. </w:t>
      </w:r>
    </w:p>
    <w:p w14:paraId="55BDF3A9" w14:textId="77777777" w:rsidR="00503699" w:rsidRPr="005835AA" w:rsidRDefault="00503699" w:rsidP="00503699">
      <w:pPr>
        <w:rPr>
          <w:b/>
          <w:bCs/>
        </w:rPr>
      </w:pPr>
      <w:r w:rsidRPr="005835AA">
        <w:rPr>
          <w:b/>
          <w:bCs/>
        </w:rPr>
        <w:t xml:space="preserve">Proposal 2.2: </w:t>
      </w:r>
      <w:r w:rsidRPr="00F77410">
        <w:rPr>
          <w:rFonts w:eastAsia="SimSun"/>
          <w:b/>
          <w:lang w:eastAsia="zh-CN"/>
        </w:rPr>
        <w:t>In</w:t>
      </w:r>
      <w:r>
        <w:rPr>
          <w:rFonts w:eastAsia="SimSun"/>
          <w:b/>
          <w:lang w:eastAsia="zh-CN"/>
        </w:rPr>
        <w:t>clude the</w:t>
      </w:r>
      <w:r w:rsidRPr="00F77410">
        <w:rPr>
          <w:rFonts w:eastAsia="SimSun"/>
          <w:b/>
          <w:lang w:eastAsia="zh-CN"/>
        </w:rPr>
        <w:t xml:space="preserve"> SPNP ID</w:t>
      </w:r>
      <w:r>
        <w:rPr>
          <w:rFonts w:eastAsia="SimSun"/>
          <w:b/>
          <w:lang w:eastAsia="zh-CN"/>
        </w:rPr>
        <w:t xml:space="preserve"> (PLMN ID and NID) in</w:t>
      </w:r>
      <w:r w:rsidRPr="00F77410">
        <w:rPr>
          <w:rFonts w:eastAsia="SimSun"/>
          <w:b/>
          <w:lang w:eastAsia="zh-CN"/>
        </w:rPr>
        <w:t>to</w:t>
      </w:r>
      <w:r w:rsidRPr="005835AA">
        <w:rPr>
          <w:b/>
          <w:bCs/>
        </w:rPr>
        <w:t xml:space="preserve"> logged MDT configuration. </w:t>
      </w:r>
    </w:p>
    <w:p w14:paraId="5ADB4BCC" w14:textId="77777777" w:rsidR="00503699" w:rsidRPr="00151654" w:rsidRDefault="00503699" w:rsidP="00503699">
      <w:pPr>
        <w:pStyle w:val="BodyText"/>
        <w:spacing w:before="120"/>
        <w:rPr>
          <w:rFonts w:eastAsia="SimSun"/>
          <w:b/>
          <w:lang w:val="en-GB" w:eastAsia="zh-CN"/>
        </w:rPr>
      </w:pPr>
      <w:r>
        <w:rPr>
          <w:rFonts w:eastAsia="SimSun"/>
          <w:b/>
          <w:lang w:val="en-GB" w:eastAsia="zh-CN"/>
        </w:rPr>
        <w:t>Proposal 2.3: I</w:t>
      </w:r>
      <w:r w:rsidRPr="00F77410">
        <w:rPr>
          <w:rFonts w:eastAsia="SimSun"/>
          <w:b/>
          <w:lang w:val="en-GB" w:eastAsia="zh-CN"/>
        </w:rPr>
        <w:t xml:space="preserve">ntroduce </w:t>
      </w:r>
      <w:r>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w:t>
      </w:r>
      <w:r w:rsidRPr="00F77410">
        <w:rPr>
          <w:rFonts w:eastAsia="SimSun"/>
          <w:b/>
          <w:lang w:val="en-GB" w:eastAsia="zh-CN"/>
        </w:rPr>
        <w:t>.</w:t>
      </w:r>
      <w:r>
        <w:rPr>
          <w:rFonts w:eastAsia="SimSun"/>
          <w:b/>
          <w:lang w:val="en-GB" w:eastAsia="zh-CN"/>
        </w:rPr>
        <w:t xml:space="preserve"> FFS if the introduction of any storage limitation is needed.</w:t>
      </w:r>
    </w:p>
    <w:p w14:paraId="1EF2AC1B" w14:textId="17A7816F" w:rsidR="00503699" w:rsidRPr="00151654" w:rsidRDefault="00503699" w:rsidP="00503699">
      <w:pPr>
        <w:pStyle w:val="BodyText"/>
        <w:spacing w:before="120"/>
        <w:rPr>
          <w:rFonts w:eastAsia="SimSun"/>
          <w:b/>
          <w:lang w:val="en-GB" w:eastAsia="zh-CN"/>
        </w:rPr>
      </w:pPr>
      <w:r>
        <w:rPr>
          <w:rFonts w:eastAsia="SimSun"/>
          <w:b/>
          <w:lang w:val="en-GB" w:eastAsia="zh-CN"/>
        </w:rPr>
        <w:t xml:space="preserve">Proposal 2.4: Send a reply LS to RAN3 LS in </w:t>
      </w:r>
      <w:r w:rsidRPr="005935B1">
        <w:rPr>
          <w:rFonts w:eastAsia="SimSun"/>
          <w:b/>
          <w:lang w:val="en-GB" w:eastAsia="zh-CN"/>
        </w:rPr>
        <w:t>R3-232118</w:t>
      </w:r>
      <w:r>
        <w:rPr>
          <w:rFonts w:eastAsia="SimSun"/>
          <w:b/>
          <w:lang w:val="en-GB" w:eastAsia="zh-CN"/>
        </w:rPr>
        <w:t xml:space="preserve"> that RAN2 agreed to i</w:t>
      </w:r>
      <w:r w:rsidRPr="00F77410">
        <w:rPr>
          <w:rFonts w:eastAsia="SimSun"/>
          <w:b/>
          <w:lang w:val="en-GB" w:eastAsia="zh-CN"/>
        </w:rPr>
        <w:t xml:space="preserve">ntroduce </w:t>
      </w:r>
      <w:r>
        <w:rPr>
          <w:rFonts w:eastAsia="SimSun"/>
          <w:b/>
          <w:lang w:val="en-GB" w:eastAsia="zh-CN"/>
        </w:rPr>
        <w:t>a</w:t>
      </w:r>
      <w:r w:rsidRPr="00F77410">
        <w:rPr>
          <w:rFonts w:eastAsia="SimSun"/>
          <w:b/>
          <w:lang w:val="en-GB" w:eastAsia="zh-CN"/>
        </w:rPr>
        <w:t xml:space="preserve"> new </w:t>
      </w:r>
      <w:r>
        <w:rPr>
          <w:rFonts w:eastAsia="SimSun"/>
          <w:b/>
          <w:lang w:val="en-GB" w:eastAsia="zh-CN"/>
        </w:rPr>
        <w:t>S</w:t>
      </w:r>
      <w:r w:rsidRPr="00F77410">
        <w:rPr>
          <w:rFonts w:eastAsia="SimSun"/>
          <w:b/>
          <w:lang w:val="en-GB" w:eastAsia="zh-CN"/>
        </w:rPr>
        <w:t xml:space="preserve">NPN specific variable for </w:t>
      </w:r>
      <w:r>
        <w:rPr>
          <w:rFonts w:eastAsia="SimSun"/>
          <w:b/>
          <w:lang w:val="en-GB" w:eastAsia="zh-CN"/>
        </w:rPr>
        <w:t>logged MDT, which enables keeping the logged MDT report when the UE moves from one network type to another network type</w:t>
      </w:r>
      <w:r w:rsidRPr="00F77410">
        <w:rPr>
          <w:rFonts w:eastAsia="SimSun"/>
          <w:b/>
          <w:lang w:val="en-GB" w:eastAsia="zh-CN"/>
        </w:rPr>
        <w:t>.</w:t>
      </w:r>
      <w:r>
        <w:rPr>
          <w:rFonts w:eastAsia="SimSun"/>
          <w:b/>
          <w:lang w:val="en-GB" w:eastAsia="zh-CN"/>
        </w:rPr>
        <w:t xml:space="preserve"> </w:t>
      </w:r>
      <w:r w:rsidR="009474D5">
        <w:rPr>
          <w:rFonts w:eastAsia="SimSun"/>
          <w:b/>
          <w:lang w:val="en-GB" w:eastAsia="zh-CN"/>
        </w:rPr>
        <w:t>(See draft reply LS in the Annex.)</w:t>
      </w:r>
    </w:p>
    <w:p w14:paraId="5C101BE7" w14:textId="710B4C60" w:rsidR="00F77410" w:rsidRDefault="00F77410" w:rsidP="009339CB"/>
    <w:p w14:paraId="659EB57A" w14:textId="0E977B3B" w:rsidR="0005289A" w:rsidRPr="006E13D1" w:rsidRDefault="0005289A" w:rsidP="0005289A">
      <w:pPr>
        <w:pStyle w:val="Heading1"/>
      </w:pPr>
      <w:r>
        <w:t xml:space="preserve">Annex – Draft </w:t>
      </w:r>
      <w:r w:rsidR="008673CF">
        <w:t>R</w:t>
      </w:r>
      <w:r w:rsidR="0021590F">
        <w:t>eply LS</w:t>
      </w:r>
    </w:p>
    <w:p w14:paraId="54D4E527" w14:textId="77777777" w:rsidR="00D95A8C" w:rsidRPr="00D95A8C" w:rsidRDefault="00D95A8C" w:rsidP="00D95A8C">
      <w:pPr>
        <w:tabs>
          <w:tab w:val="right" w:pos="9781"/>
        </w:tabs>
        <w:spacing w:after="0"/>
        <w:rPr>
          <w:rFonts w:ascii="Arial" w:hAnsi="Arial" w:cs="Arial"/>
          <w:b/>
          <w:bCs/>
          <w:sz w:val="22"/>
        </w:rPr>
      </w:pPr>
      <w:r w:rsidRPr="00D95A8C">
        <w:rPr>
          <w:rFonts w:ascii="Arial" w:hAnsi="Arial" w:cs="Arial"/>
          <w:b/>
          <w:bCs/>
          <w:sz w:val="22"/>
        </w:rPr>
        <w:t>3GPP TSG-RAN WG2 Meeting #122</w:t>
      </w:r>
      <w:r w:rsidRPr="00D95A8C">
        <w:rPr>
          <w:rFonts w:ascii="Arial" w:hAnsi="Arial" w:cs="Arial"/>
          <w:b/>
          <w:bCs/>
          <w:sz w:val="22"/>
        </w:rPr>
        <w:tab/>
      </w:r>
      <w:r w:rsidRPr="00D95A8C">
        <w:rPr>
          <w:rFonts w:ascii="Arial" w:hAnsi="Arial" w:cs="Arial"/>
          <w:b/>
          <w:bCs/>
          <w:sz w:val="22"/>
          <w:highlight w:val="yellow"/>
        </w:rPr>
        <w:t>DRAFT</w:t>
      </w:r>
      <w:r w:rsidRPr="00D95A8C">
        <w:rPr>
          <w:rFonts w:ascii="Arial" w:hAnsi="Arial" w:cs="Arial"/>
          <w:b/>
          <w:bCs/>
          <w:sz w:val="22"/>
        </w:rPr>
        <w:t xml:space="preserve"> R2-230xxxx</w:t>
      </w:r>
    </w:p>
    <w:p w14:paraId="0667E662" w14:textId="77777777" w:rsidR="00D95A8C" w:rsidRPr="00D95A8C" w:rsidRDefault="00D95A8C" w:rsidP="00D95A8C">
      <w:pPr>
        <w:tabs>
          <w:tab w:val="center" w:pos="4153"/>
          <w:tab w:val="right" w:pos="8306"/>
        </w:tabs>
        <w:spacing w:after="0"/>
        <w:rPr>
          <w:rFonts w:ascii="Arial" w:hAnsi="Arial" w:cs="Arial"/>
          <w:b/>
          <w:bCs/>
          <w:sz w:val="22"/>
        </w:rPr>
      </w:pPr>
      <w:r w:rsidRPr="00D95A8C">
        <w:rPr>
          <w:rFonts w:ascii="Arial" w:hAnsi="Arial" w:cs="Arial"/>
          <w:b/>
          <w:bCs/>
          <w:sz w:val="22"/>
        </w:rPr>
        <w:t>Incheon, South Korea, 22– 26 May 2023</w:t>
      </w:r>
    </w:p>
    <w:p w14:paraId="5AFDEF94" w14:textId="77777777" w:rsidR="00D95A8C" w:rsidRPr="00D95A8C" w:rsidRDefault="00D95A8C" w:rsidP="00D95A8C">
      <w:pPr>
        <w:spacing w:after="0"/>
        <w:rPr>
          <w:rFonts w:ascii="Arial" w:hAnsi="Arial" w:cs="Arial"/>
        </w:rPr>
      </w:pPr>
    </w:p>
    <w:p w14:paraId="5ADCE086" w14:textId="5ABD7F2C" w:rsidR="00D95A8C" w:rsidRPr="00D95A8C" w:rsidRDefault="00D95A8C" w:rsidP="00D95A8C">
      <w:pPr>
        <w:spacing w:after="60"/>
        <w:ind w:left="1985" w:hanging="1985"/>
        <w:rPr>
          <w:rFonts w:ascii="Arial" w:hAnsi="Arial" w:cs="Arial"/>
          <w:bCs/>
        </w:rPr>
      </w:pPr>
      <w:r w:rsidRPr="00D95A8C">
        <w:rPr>
          <w:rFonts w:ascii="Arial" w:hAnsi="Arial" w:cs="Arial"/>
          <w:b/>
        </w:rPr>
        <w:t>Title:</w:t>
      </w:r>
      <w:r w:rsidRPr="00D95A8C">
        <w:rPr>
          <w:rFonts w:ascii="Arial" w:hAnsi="Arial" w:cs="Arial"/>
          <w:b/>
        </w:rPr>
        <w:tab/>
        <w:t>[</w:t>
      </w:r>
      <w:r w:rsidRPr="00D95A8C">
        <w:rPr>
          <w:rFonts w:ascii="Arial" w:hAnsi="Arial" w:cs="Arial"/>
          <w:b/>
          <w:highlight w:val="yellow"/>
        </w:rPr>
        <w:t>DRAFT</w:t>
      </w:r>
      <w:r w:rsidRPr="00D95A8C">
        <w:rPr>
          <w:rFonts w:ascii="Arial" w:hAnsi="Arial" w:cs="Arial"/>
          <w:b/>
        </w:rPr>
        <w:t xml:space="preserve">] </w:t>
      </w:r>
      <w:r w:rsidR="00CB32DF">
        <w:rPr>
          <w:rFonts w:ascii="Arial" w:hAnsi="Arial" w:cs="Arial"/>
        </w:rPr>
        <w:t>Reply L</w:t>
      </w:r>
      <w:r w:rsidRPr="00D95A8C">
        <w:rPr>
          <w:rFonts w:ascii="Arial" w:hAnsi="Arial" w:cs="Arial"/>
          <w:bCs/>
        </w:rPr>
        <w:t xml:space="preserve">S on </w:t>
      </w:r>
      <w:r w:rsidR="00AF1422" w:rsidRPr="00AF1422">
        <w:rPr>
          <w:rFonts w:ascii="Arial" w:hAnsi="Arial" w:cs="Arial"/>
          <w:bCs/>
        </w:rPr>
        <w:t>potential override of logged MDT reports upon moving from SNPN to PLMN</w:t>
      </w:r>
    </w:p>
    <w:p w14:paraId="669E53C3" w14:textId="029DEFA0" w:rsidR="00D95A8C" w:rsidRPr="00D95A8C" w:rsidRDefault="00D95A8C" w:rsidP="00D95A8C">
      <w:pPr>
        <w:spacing w:after="60"/>
        <w:ind w:left="1985" w:hanging="1985"/>
        <w:rPr>
          <w:rFonts w:ascii="Arial" w:hAnsi="Arial" w:cs="Arial"/>
          <w:bCs/>
        </w:rPr>
      </w:pPr>
      <w:r w:rsidRPr="00D95A8C">
        <w:rPr>
          <w:rFonts w:ascii="Arial" w:hAnsi="Arial" w:cs="Arial"/>
          <w:b/>
        </w:rPr>
        <w:t>Response to:</w:t>
      </w:r>
      <w:r w:rsidRPr="00D95A8C">
        <w:rPr>
          <w:rFonts w:ascii="Arial" w:hAnsi="Arial" w:cs="Arial"/>
          <w:bCs/>
        </w:rPr>
        <w:tab/>
      </w:r>
      <w:r w:rsidR="001E1DAA" w:rsidRPr="001E1DAA">
        <w:rPr>
          <w:rFonts w:ascii="Arial" w:hAnsi="Arial" w:cs="Arial"/>
          <w:bCs/>
        </w:rPr>
        <w:t>R3-232118 / R2-2304628</w:t>
      </w:r>
    </w:p>
    <w:p w14:paraId="63004CEF" w14:textId="77777777" w:rsidR="00D95A8C" w:rsidRPr="00D95A8C" w:rsidRDefault="00D95A8C" w:rsidP="00D95A8C">
      <w:pPr>
        <w:spacing w:after="60"/>
        <w:ind w:left="1985" w:hanging="1985"/>
        <w:rPr>
          <w:rFonts w:ascii="Arial" w:hAnsi="Arial" w:cs="Arial"/>
          <w:bCs/>
        </w:rPr>
      </w:pPr>
      <w:r w:rsidRPr="00D95A8C">
        <w:rPr>
          <w:rFonts w:ascii="Arial" w:hAnsi="Arial" w:cs="Arial"/>
          <w:b/>
        </w:rPr>
        <w:t>Release:</w:t>
      </w:r>
      <w:r w:rsidRPr="00D95A8C">
        <w:rPr>
          <w:rFonts w:ascii="Arial" w:hAnsi="Arial" w:cs="Arial"/>
          <w:bCs/>
        </w:rPr>
        <w:tab/>
        <w:t>Release 18</w:t>
      </w:r>
    </w:p>
    <w:p w14:paraId="1D9458A6" w14:textId="797C4BCC" w:rsidR="00D95A8C" w:rsidRPr="00D95A8C" w:rsidRDefault="00D95A8C" w:rsidP="00D95A8C">
      <w:pPr>
        <w:spacing w:after="60"/>
        <w:ind w:left="1985" w:hanging="1985"/>
        <w:rPr>
          <w:rFonts w:ascii="Arial" w:hAnsi="Arial" w:cs="Arial"/>
          <w:bCs/>
        </w:rPr>
      </w:pPr>
      <w:r w:rsidRPr="00D95A8C">
        <w:rPr>
          <w:rFonts w:ascii="Arial" w:hAnsi="Arial" w:cs="Arial"/>
          <w:b/>
        </w:rPr>
        <w:t>Work Item:</w:t>
      </w:r>
      <w:r w:rsidRPr="00D95A8C">
        <w:rPr>
          <w:rFonts w:ascii="Arial" w:hAnsi="Arial" w:cs="Arial"/>
          <w:bCs/>
        </w:rPr>
        <w:tab/>
      </w:r>
      <w:r w:rsidR="000A7F5B" w:rsidRPr="000A7F5B">
        <w:rPr>
          <w:rFonts w:ascii="Arial" w:hAnsi="Arial" w:cs="Arial"/>
          <w:bCs/>
          <w:lang w:val="en-US"/>
        </w:rPr>
        <w:t>NR_ENDC_SON_MDT_enh2-Core</w:t>
      </w:r>
    </w:p>
    <w:p w14:paraId="5F199A64" w14:textId="77777777" w:rsidR="00D95A8C" w:rsidRPr="00D95A8C" w:rsidRDefault="00D95A8C" w:rsidP="00D95A8C">
      <w:pPr>
        <w:spacing w:after="60"/>
        <w:ind w:left="1985" w:hanging="1985"/>
        <w:rPr>
          <w:rFonts w:ascii="Arial" w:hAnsi="Arial" w:cs="Arial"/>
          <w:b/>
        </w:rPr>
      </w:pPr>
    </w:p>
    <w:p w14:paraId="7444D01B" w14:textId="77777777" w:rsidR="00D95A8C" w:rsidRPr="00D95A8C" w:rsidRDefault="00D95A8C" w:rsidP="00D95A8C">
      <w:pPr>
        <w:spacing w:after="60"/>
        <w:ind w:left="1985" w:hanging="1985"/>
        <w:rPr>
          <w:rFonts w:ascii="Arial" w:hAnsi="Arial" w:cs="Arial"/>
          <w:bCs/>
        </w:rPr>
      </w:pPr>
      <w:r w:rsidRPr="00D95A8C">
        <w:rPr>
          <w:rFonts w:ascii="Arial" w:hAnsi="Arial" w:cs="Arial"/>
          <w:b/>
        </w:rPr>
        <w:t>Source:</w:t>
      </w:r>
      <w:r w:rsidRPr="00D95A8C">
        <w:rPr>
          <w:rFonts w:ascii="Arial" w:hAnsi="Arial" w:cs="Arial"/>
          <w:bCs/>
        </w:rPr>
        <w:tab/>
        <w:t>Nokia [</w:t>
      </w:r>
      <w:r w:rsidRPr="00D95A8C">
        <w:rPr>
          <w:rFonts w:ascii="Arial" w:hAnsi="Arial" w:cs="Arial"/>
          <w:bCs/>
          <w:highlight w:val="yellow"/>
        </w:rPr>
        <w:t>TSG RAN WG2</w:t>
      </w:r>
      <w:r w:rsidRPr="00D95A8C">
        <w:rPr>
          <w:rFonts w:ascii="Arial" w:hAnsi="Arial" w:cs="Arial"/>
          <w:bCs/>
        </w:rPr>
        <w:t>]</w:t>
      </w:r>
    </w:p>
    <w:p w14:paraId="0EF09D96" w14:textId="7B12159B" w:rsidR="00D95A8C" w:rsidRPr="00D95A8C" w:rsidRDefault="00D95A8C" w:rsidP="00D95A8C">
      <w:pPr>
        <w:spacing w:after="60"/>
        <w:ind w:left="1985" w:hanging="1985"/>
        <w:rPr>
          <w:rFonts w:ascii="Arial" w:hAnsi="Arial" w:cs="Arial"/>
          <w:bCs/>
        </w:rPr>
      </w:pPr>
      <w:r w:rsidRPr="00D95A8C">
        <w:rPr>
          <w:rFonts w:ascii="Arial" w:hAnsi="Arial" w:cs="Arial"/>
          <w:b/>
        </w:rPr>
        <w:t>To:</w:t>
      </w:r>
      <w:r w:rsidRPr="00D95A8C">
        <w:rPr>
          <w:rFonts w:ascii="Arial" w:hAnsi="Arial" w:cs="Arial"/>
          <w:bCs/>
        </w:rPr>
        <w:tab/>
        <w:t xml:space="preserve">TSG </w:t>
      </w:r>
      <w:r w:rsidR="006C534A">
        <w:rPr>
          <w:rFonts w:ascii="Arial" w:hAnsi="Arial" w:cs="Arial"/>
          <w:bCs/>
        </w:rPr>
        <w:t>RAN3</w:t>
      </w:r>
    </w:p>
    <w:p w14:paraId="3FDA4E0C" w14:textId="77777777" w:rsidR="00D95A8C" w:rsidRPr="00D95A8C" w:rsidRDefault="00D95A8C" w:rsidP="00D95A8C">
      <w:pPr>
        <w:spacing w:after="60"/>
        <w:ind w:left="1985" w:hanging="1985"/>
        <w:rPr>
          <w:rFonts w:ascii="Arial" w:hAnsi="Arial" w:cs="Arial"/>
          <w:bCs/>
        </w:rPr>
      </w:pPr>
      <w:r w:rsidRPr="00D95A8C">
        <w:rPr>
          <w:rFonts w:ascii="Arial" w:hAnsi="Arial" w:cs="Arial"/>
          <w:b/>
        </w:rPr>
        <w:t>Cc:</w:t>
      </w:r>
      <w:r w:rsidRPr="00D95A8C">
        <w:rPr>
          <w:rFonts w:ascii="Arial" w:hAnsi="Arial" w:cs="Arial"/>
          <w:bCs/>
        </w:rPr>
        <w:tab/>
      </w:r>
    </w:p>
    <w:p w14:paraId="34F0F1EF" w14:textId="77777777" w:rsidR="00D95A8C" w:rsidRPr="00D95A8C" w:rsidRDefault="00D95A8C" w:rsidP="00D95A8C">
      <w:pPr>
        <w:spacing w:after="60"/>
        <w:ind w:left="1985" w:hanging="1985"/>
        <w:rPr>
          <w:rFonts w:ascii="Arial" w:hAnsi="Arial" w:cs="Arial"/>
          <w:bCs/>
        </w:rPr>
      </w:pPr>
    </w:p>
    <w:p w14:paraId="1A7E33EB" w14:textId="77777777" w:rsidR="00D95A8C" w:rsidRPr="00D95A8C" w:rsidRDefault="00D95A8C" w:rsidP="00D95A8C">
      <w:pPr>
        <w:tabs>
          <w:tab w:val="left" w:pos="2268"/>
        </w:tabs>
        <w:spacing w:after="0"/>
        <w:rPr>
          <w:rFonts w:ascii="Arial" w:hAnsi="Arial" w:cs="Arial"/>
          <w:bCs/>
        </w:rPr>
      </w:pPr>
      <w:r w:rsidRPr="00D95A8C">
        <w:rPr>
          <w:rFonts w:ascii="Arial" w:hAnsi="Arial" w:cs="Arial"/>
          <w:b/>
        </w:rPr>
        <w:t>Contact Person:</w:t>
      </w:r>
    </w:p>
    <w:p w14:paraId="769A8CE5" w14:textId="776F226C" w:rsidR="00D95A8C" w:rsidRPr="00D95A8C" w:rsidRDefault="00D95A8C" w:rsidP="00D95A8C">
      <w:pPr>
        <w:keepNext/>
        <w:tabs>
          <w:tab w:val="left" w:pos="2268"/>
          <w:tab w:val="left" w:pos="2694"/>
        </w:tabs>
        <w:spacing w:after="0"/>
        <w:ind w:left="567"/>
        <w:outlineLvl w:val="3"/>
        <w:rPr>
          <w:rFonts w:ascii="Arial" w:hAnsi="Arial" w:cs="Arial"/>
          <w:bCs/>
        </w:rPr>
      </w:pPr>
      <w:r w:rsidRPr="00D95A8C">
        <w:rPr>
          <w:rFonts w:ascii="Arial" w:hAnsi="Arial" w:cs="Arial"/>
          <w:b/>
        </w:rPr>
        <w:t>Name:</w:t>
      </w:r>
      <w:r w:rsidRPr="00D95A8C">
        <w:rPr>
          <w:rFonts w:ascii="Arial" w:hAnsi="Arial" w:cs="Arial"/>
          <w:bCs/>
        </w:rPr>
        <w:tab/>
      </w:r>
      <w:proofErr w:type="spellStart"/>
      <w:r w:rsidR="006C534A">
        <w:rPr>
          <w:rFonts w:ascii="Arial" w:hAnsi="Arial" w:cs="Arial"/>
          <w:bCs/>
        </w:rPr>
        <w:t>Gy</w:t>
      </w:r>
      <w:proofErr w:type="spellEnd"/>
      <w:r w:rsidR="006C534A">
        <w:rPr>
          <w:rFonts w:ascii="Arial" w:hAnsi="Arial" w:cs="Arial"/>
          <w:bCs/>
          <w:lang w:val="hu-HU"/>
        </w:rPr>
        <w:t xml:space="preserve">örgy </w:t>
      </w:r>
      <w:r w:rsidR="006C534A">
        <w:rPr>
          <w:rFonts w:ascii="Arial" w:hAnsi="Arial" w:cs="Arial"/>
          <w:bCs/>
          <w:lang w:val="en-US"/>
        </w:rPr>
        <w:t>Wolfner</w:t>
      </w:r>
    </w:p>
    <w:p w14:paraId="221C14D2" w14:textId="6D189139" w:rsidR="00D95A8C" w:rsidRPr="00D95A8C" w:rsidRDefault="00D95A8C" w:rsidP="00D95A8C">
      <w:pPr>
        <w:keepNext/>
        <w:tabs>
          <w:tab w:val="left" w:pos="2268"/>
          <w:tab w:val="left" w:pos="2694"/>
        </w:tabs>
        <w:spacing w:after="0"/>
        <w:ind w:left="567"/>
        <w:outlineLvl w:val="6"/>
        <w:rPr>
          <w:rFonts w:ascii="Arial" w:hAnsi="Arial" w:cs="Arial"/>
          <w:bCs/>
          <w:color w:val="0000FF"/>
          <w:lang w:val="en-US"/>
        </w:rPr>
      </w:pPr>
      <w:r w:rsidRPr="00D95A8C">
        <w:rPr>
          <w:rFonts w:ascii="Arial" w:hAnsi="Arial" w:cs="Arial"/>
          <w:b/>
          <w:color w:val="0000FF"/>
          <w:lang w:val="en-US"/>
        </w:rPr>
        <w:t>E-mail Address:</w:t>
      </w:r>
      <w:r w:rsidRPr="00D95A8C">
        <w:rPr>
          <w:rFonts w:ascii="Arial" w:hAnsi="Arial" w:cs="Arial"/>
          <w:bCs/>
          <w:color w:val="0000FF"/>
          <w:lang w:val="en-US"/>
        </w:rPr>
        <w:tab/>
      </w:r>
      <w:proofErr w:type="spellStart"/>
      <w:r w:rsidR="006C534A">
        <w:rPr>
          <w:rFonts w:ascii="Arial" w:hAnsi="Arial" w:cs="Arial"/>
          <w:bCs/>
          <w:color w:val="0000FF"/>
          <w:lang w:val="en-US"/>
        </w:rPr>
        <w:t>gyorgy</w:t>
      </w:r>
      <w:proofErr w:type="spellEnd"/>
      <w:r w:rsidR="006C534A">
        <w:rPr>
          <w:rFonts w:ascii="Arial" w:hAnsi="Arial" w:cs="Arial"/>
          <w:bCs/>
          <w:color w:val="0000FF"/>
          <w:lang w:val="en-US"/>
        </w:rPr>
        <w:t>&lt;dot&gt;Wolfner&lt;at&gt;</w:t>
      </w:r>
      <w:r w:rsidRPr="00D95A8C">
        <w:rPr>
          <w:rFonts w:ascii="Arial" w:hAnsi="Arial" w:cs="Arial"/>
          <w:bCs/>
          <w:color w:val="0000FF"/>
          <w:lang w:val="en-US"/>
        </w:rPr>
        <w:t>@nokia</w:t>
      </w:r>
      <w:r w:rsidR="000224F4">
        <w:rPr>
          <w:rFonts w:ascii="Arial" w:hAnsi="Arial" w:cs="Arial"/>
          <w:bCs/>
          <w:color w:val="0000FF"/>
          <w:lang w:val="en-US"/>
        </w:rPr>
        <w:t>&lt;dot&gt;</w:t>
      </w:r>
      <w:r w:rsidRPr="00D95A8C">
        <w:rPr>
          <w:rFonts w:ascii="Arial" w:hAnsi="Arial" w:cs="Arial"/>
          <w:bCs/>
          <w:color w:val="0000FF"/>
          <w:lang w:val="en-US"/>
        </w:rPr>
        <w:t>com</w:t>
      </w:r>
    </w:p>
    <w:p w14:paraId="2A5777DC" w14:textId="77777777" w:rsidR="00D95A8C" w:rsidRPr="00D95A8C" w:rsidRDefault="00D95A8C" w:rsidP="00D95A8C">
      <w:pPr>
        <w:spacing w:after="60"/>
        <w:ind w:left="1985" w:hanging="1985"/>
        <w:rPr>
          <w:rFonts w:ascii="Arial" w:hAnsi="Arial" w:cs="Arial"/>
          <w:b/>
          <w:lang w:val="en-US"/>
        </w:rPr>
      </w:pPr>
    </w:p>
    <w:p w14:paraId="789DF5E8" w14:textId="77777777" w:rsidR="00D95A8C" w:rsidRPr="00D95A8C" w:rsidRDefault="00D95A8C" w:rsidP="00D95A8C">
      <w:pPr>
        <w:tabs>
          <w:tab w:val="left" w:pos="2268"/>
        </w:tabs>
        <w:spacing w:after="0"/>
        <w:rPr>
          <w:rFonts w:ascii="Arial" w:hAnsi="Arial" w:cs="Arial"/>
          <w:bCs/>
        </w:rPr>
      </w:pPr>
      <w:r w:rsidRPr="00D95A8C">
        <w:rPr>
          <w:rFonts w:ascii="Arial" w:hAnsi="Arial" w:cs="Arial"/>
          <w:b/>
        </w:rPr>
        <w:t>Send any reply LS to:</w:t>
      </w:r>
      <w:r w:rsidRPr="00D95A8C">
        <w:rPr>
          <w:rFonts w:ascii="Arial" w:hAnsi="Arial" w:cs="Arial"/>
          <w:b/>
        </w:rPr>
        <w:tab/>
        <w:t xml:space="preserve">3GPP Liaisons Coordinator, </w:t>
      </w:r>
      <w:hyperlink r:id="rId16" w:history="1">
        <w:r w:rsidRPr="00D95A8C">
          <w:rPr>
            <w:rFonts w:ascii="Arial" w:hAnsi="Arial" w:cs="Arial"/>
            <w:b/>
            <w:color w:val="0000FF"/>
            <w:u w:val="single"/>
          </w:rPr>
          <w:t>mailto:3GPPLiaison@etsi.org</w:t>
        </w:r>
      </w:hyperlink>
      <w:r w:rsidRPr="00D95A8C">
        <w:rPr>
          <w:rFonts w:ascii="Arial" w:hAnsi="Arial" w:cs="Arial"/>
          <w:b/>
        </w:rPr>
        <w:t xml:space="preserve"> </w:t>
      </w:r>
      <w:r w:rsidRPr="00D95A8C">
        <w:rPr>
          <w:rFonts w:ascii="Arial" w:hAnsi="Arial" w:cs="Arial"/>
          <w:bCs/>
        </w:rPr>
        <w:tab/>
      </w:r>
    </w:p>
    <w:p w14:paraId="5EEFADF4" w14:textId="77777777" w:rsidR="00D95A8C" w:rsidRPr="00D95A8C" w:rsidRDefault="00D95A8C" w:rsidP="00D95A8C">
      <w:pPr>
        <w:spacing w:after="60"/>
        <w:ind w:left="1985" w:hanging="1985"/>
        <w:rPr>
          <w:rFonts w:ascii="Arial" w:hAnsi="Arial" w:cs="Arial"/>
          <w:b/>
        </w:rPr>
      </w:pPr>
    </w:p>
    <w:p w14:paraId="2BF16067" w14:textId="77777777" w:rsidR="00D95A8C" w:rsidRPr="00D95A8C" w:rsidRDefault="00D95A8C" w:rsidP="00D95A8C">
      <w:pPr>
        <w:spacing w:after="60"/>
        <w:ind w:left="1985" w:hanging="1985"/>
        <w:rPr>
          <w:rFonts w:ascii="Arial" w:hAnsi="Arial" w:cs="Arial"/>
          <w:bCs/>
        </w:rPr>
      </w:pPr>
      <w:r w:rsidRPr="00D95A8C">
        <w:rPr>
          <w:rFonts w:ascii="Arial" w:hAnsi="Arial" w:cs="Arial"/>
          <w:b/>
        </w:rPr>
        <w:t>Attachments:</w:t>
      </w:r>
      <w:r w:rsidRPr="00D95A8C">
        <w:rPr>
          <w:rFonts w:ascii="Arial" w:hAnsi="Arial" w:cs="Arial"/>
          <w:bCs/>
        </w:rPr>
        <w:tab/>
        <w:t>-</w:t>
      </w:r>
    </w:p>
    <w:p w14:paraId="660C256F" w14:textId="77777777" w:rsidR="00D95A8C" w:rsidRPr="00D95A8C" w:rsidRDefault="00D95A8C" w:rsidP="00D95A8C">
      <w:pPr>
        <w:pBdr>
          <w:bottom w:val="single" w:sz="4" w:space="1" w:color="auto"/>
        </w:pBdr>
        <w:spacing w:after="0"/>
        <w:rPr>
          <w:rFonts w:ascii="Arial" w:hAnsi="Arial" w:cs="Arial"/>
        </w:rPr>
      </w:pPr>
    </w:p>
    <w:p w14:paraId="7B05013E" w14:textId="77777777" w:rsidR="00D95A8C" w:rsidRPr="00D95A8C" w:rsidRDefault="00D95A8C" w:rsidP="00D95A8C">
      <w:pPr>
        <w:spacing w:after="0"/>
        <w:rPr>
          <w:rFonts w:ascii="Arial" w:hAnsi="Arial" w:cs="Arial"/>
        </w:rPr>
      </w:pPr>
    </w:p>
    <w:p w14:paraId="0A0D9346" w14:textId="77777777" w:rsidR="00D95A8C" w:rsidRPr="00D95A8C" w:rsidRDefault="00D95A8C" w:rsidP="00D95A8C">
      <w:pPr>
        <w:spacing w:after="120"/>
        <w:rPr>
          <w:rFonts w:ascii="Arial" w:hAnsi="Arial" w:cs="Arial"/>
          <w:b/>
        </w:rPr>
      </w:pPr>
      <w:r w:rsidRPr="00D95A8C">
        <w:rPr>
          <w:rFonts w:ascii="Arial" w:hAnsi="Arial" w:cs="Arial"/>
          <w:b/>
        </w:rPr>
        <w:t>1. Overall Description:</w:t>
      </w:r>
    </w:p>
    <w:p w14:paraId="45D79FB3" w14:textId="4CAD2BA9" w:rsidR="00D95A8C" w:rsidRPr="00D95A8C" w:rsidRDefault="006264F9" w:rsidP="00D95A8C">
      <w:pPr>
        <w:tabs>
          <w:tab w:val="center" w:pos="4153"/>
          <w:tab w:val="right" w:pos="8306"/>
        </w:tabs>
        <w:spacing w:after="120"/>
        <w:rPr>
          <w:rFonts w:ascii="Arial" w:hAnsi="Arial" w:cs="Arial"/>
          <w:lang w:val="en-US"/>
        </w:rPr>
      </w:pPr>
      <w:r>
        <w:rPr>
          <w:rFonts w:ascii="Arial" w:hAnsi="Arial" w:cs="Arial"/>
          <w:lang w:val="en-US"/>
        </w:rPr>
        <w:t xml:space="preserve">RAN2 </w:t>
      </w:r>
      <w:r w:rsidR="00297D8B">
        <w:rPr>
          <w:rFonts w:ascii="Arial" w:hAnsi="Arial" w:cs="Arial"/>
          <w:lang w:val="en-US"/>
        </w:rPr>
        <w:t xml:space="preserve">thank </w:t>
      </w:r>
      <w:r w:rsidR="001F5C6D">
        <w:rPr>
          <w:rFonts w:ascii="Arial" w:hAnsi="Arial" w:cs="Arial"/>
          <w:lang w:val="en-US"/>
        </w:rPr>
        <w:t xml:space="preserve">RAN3 </w:t>
      </w:r>
      <w:r w:rsidR="008D71B5">
        <w:rPr>
          <w:rFonts w:ascii="Arial" w:hAnsi="Arial" w:cs="Arial"/>
          <w:lang w:val="en-US"/>
        </w:rPr>
        <w:t xml:space="preserve">for sending </w:t>
      </w:r>
      <w:r w:rsidR="001F5C6D">
        <w:rPr>
          <w:rFonts w:ascii="Arial" w:hAnsi="Arial" w:cs="Arial"/>
          <w:lang w:val="en-US"/>
        </w:rPr>
        <w:t>the LS</w:t>
      </w:r>
      <w:r w:rsidR="001F5C6D" w:rsidRPr="001F5C6D">
        <w:t xml:space="preserve"> </w:t>
      </w:r>
      <w:r w:rsidR="001F5C6D" w:rsidRPr="001F5C6D">
        <w:rPr>
          <w:rFonts w:ascii="Arial" w:hAnsi="Arial" w:cs="Arial"/>
          <w:lang w:val="en-US"/>
        </w:rPr>
        <w:t>on potential override of logged MDT reports upon moving from SNPN to PLMN</w:t>
      </w:r>
      <w:r w:rsidR="00D95A8C" w:rsidRPr="00D95A8C">
        <w:rPr>
          <w:rFonts w:ascii="Arial" w:hAnsi="Arial" w:cs="Arial"/>
          <w:lang w:val="en-US"/>
        </w:rPr>
        <w:t>.</w:t>
      </w:r>
    </w:p>
    <w:p w14:paraId="01F41EAA" w14:textId="33A45076" w:rsidR="00D95A8C" w:rsidRDefault="00E37B4A" w:rsidP="00E37B4A">
      <w:pPr>
        <w:tabs>
          <w:tab w:val="center" w:pos="4153"/>
          <w:tab w:val="right" w:pos="8306"/>
        </w:tabs>
        <w:spacing w:after="120"/>
        <w:rPr>
          <w:rFonts w:ascii="Arial" w:hAnsi="Arial" w:cs="Arial"/>
          <w:lang w:val="en-US"/>
        </w:rPr>
      </w:pPr>
      <w:r>
        <w:rPr>
          <w:rFonts w:ascii="Arial" w:hAnsi="Arial" w:cs="Arial"/>
          <w:lang w:val="en-US"/>
        </w:rPr>
        <w:t xml:space="preserve">RAN2 discussed the issue </w:t>
      </w:r>
      <w:r w:rsidRPr="00E37B4A">
        <w:rPr>
          <w:rFonts w:ascii="Arial" w:hAnsi="Arial" w:cs="Arial"/>
          <w:lang w:val="en-US"/>
        </w:rPr>
        <w:t>if there are any solutions to avoid the loss of stored logged MDT reports upon moving from a network of one type to another type, even upon deregistration</w:t>
      </w:r>
      <w:r w:rsidR="00CA29AA">
        <w:rPr>
          <w:rFonts w:ascii="Arial" w:hAnsi="Arial" w:cs="Arial"/>
          <w:lang w:val="en-US"/>
        </w:rPr>
        <w:t xml:space="preserve">. RAN2 concluded that the solution is </w:t>
      </w:r>
      <w:r w:rsidR="00720C26" w:rsidRPr="00720C26">
        <w:rPr>
          <w:rFonts w:ascii="Arial" w:hAnsi="Arial" w:cs="Arial"/>
          <w:lang w:val="en-US"/>
        </w:rPr>
        <w:t>to introduce a new SNPN specific variable for logged MDT, which enables keeping the logged MDT report when the UE moves from one network type to another network type.</w:t>
      </w:r>
      <w:r w:rsidR="009825F4">
        <w:rPr>
          <w:rFonts w:ascii="Arial" w:hAnsi="Arial" w:cs="Arial"/>
          <w:lang w:val="en-US"/>
        </w:rPr>
        <w:t xml:space="preserve"> RAN2 </w:t>
      </w:r>
      <w:r w:rsidR="009D0905">
        <w:rPr>
          <w:rFonts w:ascii="Arial" w:hAnsi="Arial" w:cs="Arial"/>
          <w:lang w:val="en-US"/>
        </w:rPr>
        <w:t xml:space="preserve">will make the necessary RAN2 specifications to introduce </w:t>
      </w:r>
      <w:r w:rsidR="00F94037">
        <w:rPr>
          <w:rFonts w:ascii="Arial" w:hAnsi="Arial" w:cs="Arial"/>
          <w:lang w:val="en-US"/>
        </w:rPr>
        <w:t>the new SNPN specific variable</w:t>
      </w:r>
      <w:r w:rsidR="00A5348E">
        <w:rPr>
          <w:rFonts w:ascii="Arial" w:hAnsi="Arial" w:cs="Arial"/>
          <w:lang w:val="en-US"/>
        </w:rPr>
        <w:t xml:space="preserve"> and </w:t>
      </w:r>
      <w:r w:rsidR="00DF4156">
        <w:rPr>
          <w:rFonts w:ascii="Arial" w:hAnsi="Arial" w:cs="Arial"/>
          <w:lang w:val="en-US"/>
        </w:rPr>
        <w:t>its handling in the UE</w:t>
      </w:r>
      <w:r w:rsidR="00287E81">
        <w:rPr>
          <w:rFonts w:ascii="Arial" w:hAnsi="Arial" w:cs="Arial"/>
          <w:lang w:val="en-US"/>
        </w:rPr>
        <w:t xml:space="preserve"> in Rel-18</w:t>
      </w:r>
      <w:r w:rsidR="00DF4156">
        <w:rPr>
          <w:rFonts w:ascii="Arial" w:hAnsi="Arial" w:cs="Arial"/>
          <w:lang w:val="en-US"/>
        </w:rPr>
        <w:t>.</w:t>
      </w:r>
    </w:p>
    <w:p w14:paraId="0D49084C" w14:textId="77777777" w:rsidR="00D95A8C" w:rsidRPr="00D95A8C" w:rsidRDefault="00D95A8C" w:rsidP="00D95A8C">
      <w:pPr>
        <w:spacing w:after="120"/>
        <w:rPr>
          <w:rFonts w:ascii="Arial" w:hAnsi="Arial" w:cs="Arial"/>
          <w:b/>
        </w:rPr>
      </w:pPr>
      <w:r w:rsidRPr="00D95A8C">
        <w:rPr>
          <w:rFonts w:ascii="Arial" w:hAnsi="Arial" w:cs="Arial"/>
          <w:b/>
        </w:rPr>
        <w:t>2. Actions:</w:t>
      </w:r>
    </w:p>
    <w:p w14:paraId="45D0095A" w14:textId="2B84C528" w:rsidR="00D95A8C" w:rsidRPr="00D95A8C" w:rsidRDefault="00D95A8C" w:rsidP="00D95A8C">
      <w:pPr>
        <w:spacing w:after="120"/>
        <w:ind w:left="1985" w:hanging="1985"/>
        <w:rPr>
          <w:rFonts w:ascii="Arial" w:hAnsi="Arial" w:cs="Arial"/>
          <w:b/>
        </w:rPr>
      </w:pPr>
      <w:r w:rsidRPr="00D95A8C">
        <w:rPr>
          <w:rFonts w:ascii="Arial" w:hAnsi="Arial" w:cs="Arial"/>
          <w:b/>
        </w:rPr>
        <w:t xml:space="preserve">To </w:t>
      </w:r>
      <w:r w:rsidR="00DF4156">
        <w:rPr>
          <w:rFonts w:ascii="Arial" w:hAnsi="Arial" w:cs="Arial"/>
          <w:b/>
        </w:rPr>
        <w:t>RAN3</w:t>
      </w:r>
    </w:p>
    <w:p w14:paraId="5903A5F0" w14:textId="315A0079" w:rsidR="00D95A8C" w:rsidRPr="00D95A8C" w:rsidRDefault="00D95A8C" w:rsidP="00D95A8C">
      <w:pPr>
        <w:spacing w:after="120"/>
        <w:ind w:left="993" w:hanging="993"/>
        <w:rPr>
          <w:rFonts w:ascii="Arial" w:hAnsi="Arial" w:cs="Arial"/>
        </w:rPr>
      </w:pPr>
      <w:r w:rsidRPr="00D95A8C">
        <w:rPr>
          <w:rFonts w:ascii="Arial" w:hAnsi="Arial" w:cs="Arial"/>
          <w:b/>
        </w:rPr>
        <w:t xml:space="preserve">ACTION: </w:t>
      </w:r>
      <w:r w:rsidRPr="00D95A8C">
        <w:rPr>
          <w:rFonts w:ascii="Arial" w:hAnsi="Arial" w:cs="Arial"/>
          <w:b/>
        </w:rPr>
        <w:tab/>
      </w:r>
      <w:r w:rsidRPr="00D95A8C">
        <w:rPr>
          <w:rFonts w:ascii="Arial" w:hAnsi="Arial" w:cs="Arial"/>
        </w:rPr>
        <w:t xml:space="preserve">RAN2 respectfully asks </w:t>
      </w:r>
      <w:r w:rsidR="006264F9">
        <w:rPr>
          <w:rFonts w:ascii="Arial" w:hAnsi="Arial" w:cs="Arial"/>
        </w:rPr>
        <w:t>RAN3</w:t>
      </w:r>
      <w:r w:rsidRPr="00D95A8C">
        <w:rPr>
          <w:rFonts w:ascii="Arial" w:hAnsi="Arial" w:cs="Arial"/>
        </w:rPr>
        <w:t xml:space="preserve"> to </w:t>
      </w:r>
      <w:r w:rsidR="006264F9">
        <w:rPr>
          <w:rFonts w:ascii="Arial" w:hAnsi="Arial" w:cs="Arial"/>
        </w:rPr>
        <w:t>take the above into considerations</w:t>
      </w:r>
    </w:p>
    <w:p w14:paraId="7C01DA73" w14:textId="77777777" w:rsidR="00D95A8C" w:rsidRPr="00D95A8C" w:rsidRDefault="00D95A8C" w:rsidP="00D95A8C">
      <w:pPr>
        <w:spacing w:after="120"/>
        <w:rPr>
          <w:rFonts w:ascii="Arial" w:hAnsi="Arial" w:cs="Arial"/>
          <w:b/>
        </w:rPr>
      </w:pPr>
    </w:p>
    <w:p w14:paraId="6E266E0D" w14:textId="77777777" w:rsidR="00D95A8C" w:rsidRPr="00D95A8C" w:rsidRDefault="00D95A8C" w:rsidP="00D95A8C">
      <w:pPr>
        <w:spacing w:after="120"/>
        <w:rPr>
          <w:rFonts w:ascii="Arial" w:hAnsi="Arial" w:cs="Arial"/>
          <w:b/>
        </w:rPr>
      </w:pPr>
      <w:r w:rsidRPr="00D95A8C">
        <w:rPr>
          <w:rFonts w:ascii="Arial" w:hAnsi="Arial" w:cs="Arial"/>
          <w:b/>
        </w:rPr>
        <w:t>3. Date of Next TSG-RAN WG2 Meeting:</w:t>
      </w:r>
    </w:p>
    <w:p w14:paraId="14BE9FEB" w14:textId="77777777" w:rsidR="00D95A8C" w:rsidRPr="00D95A8C" w:rsidRDefault="00D95A8C" w:rsidP="00D95A8C">
      <w:pPr>
        <w:tabs>
          <w:tab w:val="left" w:pos="3119"/>
        </w:tabs>
        <w:spacing w:after="120"/>
        <w:ind w:left="2268" w:hanging="2268"/>
        <w:rPr>
          <w:rFonts w:ascii="Arial" w:hAnsi="Arial" w:cs="Arial"/>
          <w:bCs/>
        </w:rPr>
      </w:pPr>
      <w:r w:rsidRPr="00D95A8C">
        <w:rPr>
          <w:rFonts w:ascii="Arial" w:hAnsi="Arial" w:cs="Arial"/>
          <w:bCs/>
        </w:rPr>
        <w:t>RAN2#123</w:t>
      </w:r>
      <w:r w:rsidRPr="00D95A8C">
        <w:rPr>
          <w:rFonts w:ascii="Arial" w:hAnsi="Arial" w:cs="Arial"/>
          <w:bCs/>
        </w:rPr>
        <w:tab/>
        <w:t>from 2023-08-21</w:t>
      </w:r>
      <w:r w:rsidRPr="00D95A8C">
        <w:rPr>
          <w:rFonts w:ascii="Arial" w:hAnsi="Arial" w:cs="Arial"/>
          <w:bCs/>
        </w:rPr>
        <w:tab/>
        <w:t>to 2023-08-25</w:t>
      </w:r>
      <w:r w:rsidRPr="00D95A8C">
        <w:rPr>
          <w:rFonts w:ascii="Arial" w:hAnsi="Arial" w:cs="Arial"/>
          <w:bCs/>
        </w:rPr>
        <w:tab/>
      </w:r>
      <w:r w:rsidRPr="00D95A8C">
        <w:rPr>
          <w:rFonts w:ascii="Arial" w:hAnsi="Arial" w:cs="Arial"/>
          <w:bCs/>
        </w:rPr>
        <w:tab/>
        <w:t>Toulouse</w:t>
      </w:r>
    </w:p>
    <w:p w14:paraId="46FA2827" w14:textId="77777777" w:rsidR="00E720E6" w:rsidRPr="00342158" w:rsidRDefault="00E720E6" w:rsidP="00E720E6">
      <w:pPr>
        <w:tabs>
          <w:tab w:val="left" w:pos="3119"/>
        </w:tabs>
        <w:spacing w:after="120"/>
        <w:ind w:left="2268" w:hanging="2268"/>
        <w:rPr>
          <w:rFonts w:ascii="Arial" w:hAnsi="Arial" w:cs="Arial"/>
          <w:bCs/>
        </w:rPr>
      </w:pPr>
      <w:r>
        <w:rPr>
          <w:rFonts w:ascii="Arial" w:hAnsi="Arial" w:cs="Arial"/>
          <w:bCs/>
          <w:lang w:val="en-US"/>
        </w:rPr>
        <w:t>RAN2#123bis</w:t>
      </w:r>
      <w:r>
        <w:rPr>
          <w:rFonts w:ascii="Arial" w:hAnsi="Arial" w:cs="Arial"/>
          <w:bCs/>
          <w:lang w:val="en-US"/>
        </w:rPr>
        <w:tab/>
      </w:r>
      <w:r w:rsidRPr="00342158">
        <w:rPr>
          <w:rFonts w:ascii="Arial" w:hAnsi="Arial" w:cs="Arial"/>
          <w:bCs/>
        </w:rPr>
        <w:t>from 2023-</w:t>
      </w:r>
      <w:r>
        <w:rPr>
          <w:rFonts w:ascii="Arial" w:hAnsi="Arial" w:cs="Arial"/>
          <w:bCs/>
        </w:rPr>
        <w:t>10</w:t>
      </w:r>
      <w:r w:rsidRPr="00342158">
        <w:rPr>
          <w:rFonts w:ascii="Arial" w:hAnsi="Arial" w:cs="Arial"/>
          <w:bCs/>
        </w:rPr>
        <w:t>-</w:t>
      </w:r>
      <w:r>
        <w:rPr>
          <w:rFonts w:ascii="Arial" w:hAnsi="Arial" w:cs="Arial"/>
          <w:bCs/>
        </w:rPr>
        <w:t>09</w:t>
      </w:r>
      <w:r w:rsidRPr="00342158">
        <w:rPr>
          <w:rFonts w:ascii="Arial" w:hAnsi="Arial" w:cs="Arial"/>
          <w:bCs/>
        </w:rPr>
        <w:tab/>
        <w:t>to 2023-</w:t>
      </w:r>
      <w:r>
        <w:rPr>
          <w:rFonts w:ascii="Arial" w:hAnsi="Arial" w:cs="Arial"/>
          <w:bCs/>
        </w:rPr>
        <w:t>10</w:t>
      </w:r>
      <w:r w:rsidRPr="00342158">
        <w:rPr>
          <w:rFonts w:ascii="Arial" w:hAnsi="Arial" w:cs="Arial"/>
          <w:bCs/>
        </w:rPr>
        <w:t>-</w:t>
      </w:r>
      <w:r>
        <w:rPr>
          <w:rFonts w:ascii="Arial" w:hAnsi="Arial" w:cs="Arial"/>
          <w:bCs/>
        </w:rPr>
        <w:t>13</w:t>
      </w:r>
      <w:r w:rsidRPr="00342158">
        <w:rPr>
          <w:rFonts w:ascii="Arial" w:hAnsi="Arial" w:cs="Arial"/>
          <w:bCs/>
        </w:rPr>
        <w:tab/>
      </w:r>
      <w:r w:rsidRPr="00342158">
        <w:rPr>
          <w:rFonts w:ascii="Arial" w:hAnsi="Arial" w:cs="Arial"/>
          <w:bCs/>
        </w:rPr>
        <w:tab/>
      </w:r>
      <w:r>
        <w:rPr>
          <w:rFonts w:ascii="Arial" w:hAnsi="Arial" w:cs="Arial"/>
          <w:bCs/>
        </w:rPr>
        <w:t>Xiamen, CN</w:t>
      </w:r>
    </w:p>
    <w:p w14:paraId="328A3D80" w14:textId="77777777" w:rsidR="0068432A" w:rsidRDefault="0068432A" w:rsidP="0068432A"/>
    <w:sectPr w:rsidR="00684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B72E2" w14:textId="77777777" w:rsidR="00074D11" w:rsidRDefault="00074D11">
      <w:r>
        <w:separator/>
      </w:r>
    </w:p>
  </w:endnote>
  <w:endnote w:type="continuationSeparator" w:id="0">
    <w:p w14:paraId="05D48381" w14:textId="77777777" w:rsidR="00074D11" w:rsidRDefault="00074D11">
      <w:r>
        <w:continuationSeparator/>
      </w:r>
    </w:p>
  </w:endnote>
  <w:endnote w:type="continuationNotice" w:id="1">
    <w:p w14:paraId="6E5BC8CF" w14:textId="77777777" w:rsidR="00074D11" w:rsidRDefault="00074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5044" w14:textId="77777777" w:rsidR="00074D11" w:rsidRDefault="00074D11">
      <w:r>
        <w:separator/>
      </w:r>
    </w:p>
  </w:footnote>
  <w:footnote w:type="continuationSeparator" w:id="0">
    <w:p w14:paraId="18F0544A" w14:textId="77777777" w:rsidR="00074D11" w:rsidRDefault="00074D11">
      <w:r>
        <w:continuationSeparator/>
      </w:r>
    </w:p>
  </w:footnote>
  <w:footnote w:type="continuationNotice" w:id="1">
    <w:p w14:paraId="2DD7BE66" w14:textId="77777777" w:rsidR="00074D11" w:rsidRDefault="00074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06098ABA"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371BC203"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015DC98B"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97FCF"/>
    <w:multiLevelType w:val="hybridMultilevel"/>
    <w:tmpl w:val="DE9EF36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 w15:restartNumberingAfterBreak="0">
    <w:nsid w:val="189E1362"/>
    <w:multiLevelType w:val="hybridMultilevel"/>
    <w:tmpl w:val="FF7A9CCA"/>
    <w:lvl w:ilvl="0" w:tplc="D5B8A43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B3AD3"/>
    <w:multiLevelType w:val="hybridMultilevel"/>
    <w:tmpl w:val="C03C38DE"/>
    <w:lvl w:ilvl="0" w:tplc="E6AE2068">
      <w:start w:val="1"/>
      <w:numFmt w:val="bullet"/>
      <w:lvlText w:val=""/>
      <w:lvlJc w:val="left"/>
      <w:pPr>
        <w:tabs>
          <w:tab w:val="num" w:pos="720"/>
        </w:tabs>
        <w:ind w:left="720" w:hanging="360"/>
      </w:pPr>
      <w:rPr>
        <w:rFonts w:ascii="Nokia Pure Text Light" w:hAnsi="Nokia Pure Text Light" w:hint="default"/>
      </w:rPr>
    </w:lvl>
    <w:lvl w:ilvl="1" w:tplc="B51A3700">
      <w:start w:val="1"/>
      <w:numFmt w:val="bullet"/>
      <w:lvlText w:val=""/>
      <w:lvlJc w:val="left"/>
      <w:pPr>
        <w:tabs>
          <w:tab w:val="num" w:pos="1440"/>
        </w:tabs>
        <w:ind w:left="1440" w:hanging="360"/>
      </w:pPr>
      <w:rPr>
        <w:rFonts w:ascii="Nokia Pure Text Light" w:hAnsi="Nokia Pure Text Light" w:hint="default"/>
      </w:rPr>
    </w:lvl>
    <w:lvl w:ilvl="2" w:tplc="81A40E6C">
      <w:numFmt w:val="bullet"/>
      <w:lvlText w:val=""/>
      <w:lvlJc w:val="left"/>
      <w:pPr>
        <w:tabs>
          <w:tab w:val="num" w:pos="2160"/>
        </w:tabs>
        <w:ind w:left="2160" w:hanging="360"/>
      </w:pPr>
      <w:rPr>
        <w:rFonts w:ascii="Wingdings" w:hAnsi="Wingdings" w:hint="default"/>
      </w:rPr>
    </w:lvl>
    <w:lvl w:ilvl="3" w:tplc="8E024504" w:tentative="1">
      <w:start w:val="1"/>
      <w:numFmt w:val="bullet"/>
      <w:lvlText w:val=""/>
      <w:lvlJc w:val="left"/>
      <w:pPr>
        <w:tabs>
          <w:tab w:val="num" w:pos="2880"/>
        </w:tabs>
        <w:ind w:left="2880" w:hanging="360"/>
      </w:pPr>
      <w:rPr>
        <w:rFonts w:ascii="Nokia Pure Text Light" w:hAnsi="Nokia Pure Text Light" w:hint="default"/>
      </w:rPr>
    </w:lvl>
    <w:lvl w:ilvl="4" w:tplc="06262262" w:tentative="1">
      <w:start w:val="1"/>
      <w:numFmt w:val="bullet"/>
      <w:lvlText w:val=""/>
      <w:lvlJc w:val="left"/>
      <w:pPr>
        <w:tabs>
          <w:tab w:val="num" w:pos="3600"/>
        </w:tabs>
        <w:ind w:left="3600" w:hanging="360"/>
      </w:pPr>
      <w:rPr>
        <w:rFonts w:ascii="Nokia Pure Text Light" w:hAnsi="Nokia Pure Text Light" w:hint="default"/>
      </w:rPr>
    </w:lvl>
    <w:lvl w:ilvl="5" w:tplc="6D2C9150" w:tentative="1">
      <w:start w:val="1"/>
      <w:numFmt w:val="bullet"/>
      <w:lvlText w:val=""/>
      <w:lvlJc w:val="left"/>
      <w:pPr>
        <w:tabs>
          <w:tab w:val="num" w:pos="4320"/>
        </w:tabs>
        <w:ind w:left="4320" w:hanging="360"/>
      </w:pPr>
      <w:rPr>
        <w:rFonts w:ascii="Nokia Pure Text Light" w:hAnsi="Nokia Pure Text Light" w:hint="default"/>
      </w:rPr>
    </w:lvl>
    <w:lvl w:ilvl="6" w:tplc="29D07C78" w:tentative="1">
      <w:start w:val="1"/>
      <w:numFmt w:val="bullet"/>
      <w:lvlText w:val=""/>
      <w:lvlJc w:val="left"/>
      <w:pPr>
        <w:tabs>
          <w:tab w:val="num" w:pos="5040"/>
        </w:tabs>
        <w:ind w:left="5040" w:hanging="360"/>
      </w:pPr>
      <w:rPr>
        <w:rFonts w:ascii="Nokia Pure Text Light" w:hAnsi="Nokia Pure Text Light" w:hint="default"/>
      </w:rPr>
    </w:lvl>
    <w:lvl w:ilvl="7" w:tplc="7C925E1C" w:tentative="1">
      <w:start w:val="1"/>
      <w:numFmt w:val="bullet"/>
      <w:lvlText w:val=""/>
      <w:lvlJc w:val="left"/>
      <w:pPr>
        <w:tabs>
          <w:tab w:val="num" w:pos="5760"/>
        </w:tabs>
        <w:ind w:left="5760" w:hanging="360"/>
      </w:pPr>
      <w:rPr>
        <w:rFonts w:ascii="Nokia Pure Text Light" w:hAnsi="Nokia Pure Text Light" w:hint="default"/>
      </w:rPr>
    </w:lvl>
    <w:lvl w:ilvl="8" w:tplc="BC6032B2" w:tentative="1">
      <w:start w:val="1"/>
      <w:numFmt w:val="bullet"/>
      <w:lvlText w:val=""/>
      <w:lvlJc w:val="left"/>
      <w:pPr>
        <w:tabs>
          <w:tab w:val="num" w:pos="6480"/>
        </w:tabs>
        <w:ind w:left="6480" w:hanging="360"/>
      </w:pPr>
      <w:rPr>
        <w:rFonts w:ascii="Nokia Pure Text Light" w:hAnsi="Nokia Pure Text Light"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78748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7E5B68"/>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33625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3694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1602181">
    <w:abstractNumId w:val="1"/>
  </w:num>
  <w:num w:numId="4" w16cid:durableId="1368215565">
    <w:abstractNumId w:val="7"/>
  </w:num>
  <w:num w:numId="5" w16cid:durableId="341204997">
    <w:abstractNumId w:val="5"/>
  </w:num>
  <w:num w:numId="6" w16cid:durableId="2139685010">
    <w:abstractNumId w:val="9"/>
  </w:num>
  <w:num w:numId="7" w16cid:durableId="769542854">
    <w:abstractNumId w:val="10"/>
  </w:num>
  <w:num w:numId="8" w16cid:durableId="1163543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0893863">
    <w:abstractNumId w:val="4"/>
  </w:num>
  <w:num w:numId="10" w16cid:durableId="2016836088">
    <w:abstractNumId w:val="3"/>
  </w:num>
  <w:num w:numId="11" w16cid:durableId="1922061533">
    <w:abstractNumId w:val="6"/>
  </w:num>
  <w:num w:numId="12" w16cid:durableId="1651325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4F4"/>
    <w:rsid w:val="00023C40"/>
    <w:rsid w:val="0002595C"/>
    <w:rsid w:val="00033397"/>
    <w:rsid w:val="00040095"/>
    <w:rsid w:val="0005289A"/>
    <w:rsid w:val="000565A1"/>
    <w:rsid w:val="00065268"/>
    <w:rsid w:val="0006620D"/>
    <w:rsid w:val="0007148F"/>
    <w:rsid w:val="00073C9C"/>
    <w:rsid w:val="00074D11"/>
    <w:rsid w:val="00075AD4"/>
    <w:rsid w:val="00076412"/>
    <w:rsid w:val="00080512"/>
    <w:rsid w:val="00090468"/>
    <w:rsid w:val="00094568"/>
    <w:rsid w:val="000A7F5B"/>
    <w:rsid w:val="000B5B9A"/>
    <w:rsid w:val="000B7BCF"/>
    <w:rsid w:val="000C522B"/>
    <w:rsid w:val="000C74B7"/>
    <w:rsid w:val="000D58AB"/>
    <w:rsid w:val="000E51FF"/>
    <w:rsid w:val="00112F1A"/>
    <w:rsid w:val="00122691"/>
    <w:rsid w:val="00145075"/>
    <w:rsid w:val="00155DAC"/>
    <w:rsid w:val="001704DA"/>
    <w:rsid w:val="00171E8C"/>
    <w:rsid w:val="001741A0"/>
    <w:rsid w:val="00175FA0"/>
    <w:rsid w:val="00180EB7"/>
    <w:rsid w:val="00191A2B"/>
    <w:rsid w:val="00194CD0"/>
    <w:rsid w:val="001B346B"/>
    <w:rsid w:val="001B49C9"/>
    <w:rsid w:val="001B6A08"/>
    <w:rsid w:val="001C23F4"/>
    <w:rsid w:val="001C2853"/>
    <w:rsid w:val="001C40F3"/>
    <w:rsid w:val="001C4F79"/>
    <w:rsid w:val="001E1DAA"/>
    <w:rsid w:val="001F168B"/>
    <w:rsid w:val="001F5C6D"/>
    <w:rsid w:val="001F7831"/>
    <w:rsid w:val="00200E20"/>
    <w:rsid w:val="00204045"/>
    <w:rsid w:val="0020712B"/>
    <w:rsid w:val="0021590F"/>
    <w:rsid w:val="0022606D"/>
    <w:rsid w:val="002304AF"/>
    <w:rsid w:val="00231728"/>
    <w:rsid w:val="00243D87"/>
    <w:rsid w:val="00244A05"/>
    <w:rsid w:val="002458CD"/>
    <w:rsid w:val="00250404"/>
    <w:rsid w:val="00252A9A"/>
    <w:rsid w:val="00256B74"/>
    <w:rsid w:val="002610D8"/>
    <w:rsid w:val="00261FD1"/>
    <w:rsid w:val="00271751"/>
    <w:rsid w:val="002747EC"/>
    <w:rsid w:val="00280A4D"/>
    <w:rsid w:val="002855BF"/>
    <w:rsid w:val="00287E81"/>
    <w:rsid w:val="002949ED"/>
    <w:rsid w:val="00297D8B"/>
    <w:rsid w:val="002B2988"/>
    <w:rsid w:val="002E35B9"/>
    <w:rsid w:val="002E41C1"/>
    <w:rsid w:val="002F0D22"/>
    <w:rsid w:val="002F445B"/>
    <w:rsid w:val="00307102"/>
    <w:rsid w:val="00311B17"/>
    <w:rsid w:val="00317009"/>
    <w:rsid w:val="003172DC"/>
    <w:rsid w:val="00325AE3"/>
    <w:rsid w:val="00326069"/>
    <w:rsid w:val="003322D6"/>
    <w:rsid w:val="00350B4D"/>
    <w:rsid w:val="0035462D"/>
    <w:rsid w:val="0036459E"/>
    <w:rsid w:val="00364B41"/>
    <w:rsid w:val="00383096"/>
    <w:rsid w:val="0039346C"/>
    <w:rsid w:val="003A41EF"/>
    <w:rsid w:val="003B40AD"/>
    <w:rsid w:val="003C4E37"/>
    <w:rsid w:val="003E16BE"/>
    <w:rsid w:val="003F270A"/>
    <w:rsid w:val="003F4E28"/>
    <w:rsid w:val="004006E8"/>
    <w:rsid w:val="00401855"/>
    <w:rsid w:val="004122D6"/>
    <w:rsid w:val="00446C3A"/>
    <w:rsid w:val="004474C2"/>
    <w:rsid w:val="00450A0B"/>
    <w:rsid w:val="00465587"/>
    <w:rsid w:val="00477455"/>
    <w:rsid w:val="0048279D"/>
    <w:rsid w:val="00482C00"/>
    <w:rsid w:val="0049373E"/>
    <w:rsid w:val="004A1AE7"/>
    <w:rsid w:val="004A1F7B"/>
    <w:rsid w:val="004A71F1"/>
    <w:rsid w:val="004B473A"/>
    <w:rsid w:val="004C44D2"/>
    <w:rsid w:val="004D3578"/>
    <w:rsid w:val="004D380D"/>
    <w:rsid w:val="004E213A"/>
    <w:rsid w:val="004F4540"/>
    <w:rsid w:val="004F5EC0"/>
    <w:rsid w:val="004F73A7"/>
    <w:rsid w:val="005009C8"/>
    <w:rsid w:val="00503171"/>
    <w:rsid w:val="00503699"/>
    <w:rsid w:val="00506C28"/>
    <w:rsid w:val="0053001C"/>
    <w:rsid w:val="00531DDC"/>
    <w:rsid w:val="00534DA0"/>
    <w:rsid w:val="00543E6C"/>
    <w:rsid w:val="00562D47"/>
    <w:rsid w:val="00565087"/>
    <w:rsid w:val="0056573F"/>
    <w:rsid w:val="00570068"/>
    <w:rsid w:val="00571279"/>
    <w:rsid w:val="005835AA"/>
    <w:rsid w:val="005935B1"/>
    <w:rsid w:val="005A0D4C"/>
    <w:rsid w:val="005A13AB"/>
    <w:rsid w:val="005A49C6"/>
    <w:rsid w:val="005B2801"/>
    <w:rsid w:val="005C766E"/>
    <w:rsid w:val="005C7CD5"/>
    <w:rsid w:val="00611566"/>
    <w:rsid w:val="00622EA9"/>
    <w:rsid w:val="0062645C"/>
    <w:rsid w:val="006264F9"/>
    <w:rsid w:val="00630880"/>
    <w:rsid w:val="00646D99"/>
    <w:rsid w:val="00656910"/>
    <w:rsid w:val="006574C0"/>
    <w:rsid w:val="00661C42"/>
    <w:rsid w:val="0068432A"/>
    <w:rsid w:val="00685228"/>
    <w:rsid w:val="00696821"/>
    <w:rsid w:val="00696D72"/>
    <w:rsid w:val="006A0756"/>
    <w:rsid w:val="006B6F55"/>
    <w:rsid w:val="006C534A"/>
    <w:rsid w:val="006C5C60"/>
    <w:rsid w:val="006C66D8"/>
    <w:rsid w:val="006D1E24"/>
    <w:rsid w:val="006D35DE"/>
    <w:rsid w:val="006E0F05"/>
    <w:rsid w:val="006E1057"/>
    <w:rsid w:val="006E1417"/>
    <w:rsid w:val="006E316B"/>
    <w:rsid w:val="006E48E9"/>
    <w:rsid w:val="006F6A2C"/>
    <w:rsid w:val="007069DC"/>
    <w:rsid w:val="00710201"/>
    <w:rsid w:val="00715D3B"/>
    <w:rsid w:val="00720560"/>
    <w:rsid w:val="0072073A"/>
    <w:rsid w:val="00720C26"/>
    <w:rsid w:val="007342B5"/>
    <w:rsid w:val="00734A5B"/>
    <w:rsid w:val="00744E76"/>
    <w:rsid w:val="00757D40"/>
    <w:rsid w:val="007662B5"/>
    <w:rsid w:val="00773E96"/>
    <w:rsid w:val="00781F0F"/>
    <w:rsid w:val="0078727C"/>
    <w:rsid w:val="0079049D"/>
    <w:rsid w:val="00793DC5"/>
    <w:rsid w:val="00796823"/>
    <w:rsid w:val="007A2E55"/>
    <w:rsid w:val="007B18D8"/>
    <w:rsid w:val="007C095F"/>
    <w:rsid w:val="007C2DD0"/>
    <w:rsid w:val="007D2F61"/>
    <w:rsid w:val="007E19E9"/>
    <w:rsid w:val="007F2E08"/>
    <w:rsid w:val="007F55EE"/>
    <w:rsid w:val="008024FA"/>
    <w:rsid w:val="008028A4"/>
    <w:rsid w:val="00813245"/>
    <w:rsid w:val="00814F6A"/>
    <w:rsid w:val="00840DE0"/>
    <w:rsid w:val="00847CD0"/>
    <w:rsid w:val="008607A8"/>
    <w:rsid w:val="0086354A"/>
    <w:rsid w:val="008673CF"/>
    <w:rsid w:val="00874FF7"/>
    <w:rsid w:val="008768CA"/>
    <w:rsid w:val="00877EF9"/>
    <w:rsid w:val="00880559"/>
    <w:rsid w:val="008867BA"/>
    <w:rsid w:val="008B5306"/>
    <w:rsid w:val="008B54E8"/>
    <w:rsid w:val="008C2E2A"/>
    <w:rsid w:val="008C3057"/>
    <w:rsid w:val="008C3074"/>
    <w:rsid w:val="008D2E4D"/>
    <w:rsid w:val="008D71B5"/>
    <w:rsid w:val="008F396F"/>
    <w:rsid w:val="008F3DCD"/>
    <w:rsid w:val="00900F48"/>
    <w:rsid w:val="0090271F"/>
    <w:rsid w:val="00902DB9"/>
    <w:rsid w:val="0090466A"/>
    <w:rsid w:val="00923655"/>
    <w:rsid w:val="00925E30"/>
    <w:rsid w:val="009339CB"/>
    <w:rsid w:val="00935193"/>
    <w:rsid w:val="00936071"/>
    <w:rsid w:val="009376CD"/>
    <w:rsid w:val="00940212"/>
    <w:rsid w:val="00941F69"/>
    <w:rsid w:val="00942EC2"/>
    <w:rsid w:val="009474D5"/>
    <w:rsid w:val="00961B32"/>
    <w:rsid w:val="00962509"/>
    <w:rsid w:val="00970DB3"/>
    <w:rsid w:val="00970FEB"/>
    <w:rsid w:val="0097303F"/>
    <w:rsid w:val="00974BB0"/>
    <w:rsid w:val="00975BCD"/>
    <w:rsid w:val="009825F4"/>
    <w:rsid w:val="009928A9"/>
    <w:rsid w:val="009A0AF3"/>
    <w:rsid w:val="009B07CD"/>
    <w:rsid w:val="009C19E9"/>
    <w:rsid w:val="009D0905"/>
    <w:rsid w:val="009D74A6"/>
    <w:rsid w:val="009E026A"/>
    <w:rsid w:val="009E0E87"/>
    <w:rsid w:val="00A005BF"/>
    <w:rsid w:val="00A025B4"/>
    <w:rsid w:val="00A05D56"/>
    <w:rsid w:val="00A10F02"/>
    <w:rsid w:val="00A17176"/>
    <w:rsid w:val="00A204CA"/>
    <w:rsid w:val="00A209D6"/>
    <w:rsid w:val="00A22738"/>
    <w:rsid w:val="00A36F5F"/>
    <w:rsid w:val="00A430EC"/>
    <w:rsid w:val="00A43917"/>
    <w:rsid w:val="00A5348E"/>
    <w:rsid w:val="00A53724"/>
    <w:rsid w:val="00A54B2B"/>
    <w:rsid w:val="00A703B6"/>
    <w:rsid w:val="00A723C1"/>
    <w:rsid w:val="00A82346"/>
    <w:rsid w:val="00A9671C"/>
    <w:rsid w:val="00AA1553"/>
    <w:rsid w:val="00AA1870"/>
    <w:rsid w:val="00AF1422"/>
    <w:rsid w:val="00AF57FE"/>
    <w:rsid w:val="00B05380"/>
    <w:rsid w:val="00B05962"/>
    <w:rsid w:val="00B15449"/>
    <w:rsid w:val="00B16C2F"/>
    <w:rsid w:val="00B22B44"/>
    <w:rsid w:val="00B27303"/>
    <w:rsid w:val="00B47FD1"/>
    <w:rsid w:val="00B516BB"/>
    <w:rsid w:val="00B54CB4"/>
    <w:rsid w:val="00B7538C"/>
    <w:rsid w:val="00B84DB2"/>
    <w:rsid w:val="00B96FF4"/>
    <w:rsid w:val="00BC3555"/>
    <w:rsid w:val="00BD3D0F"/>
    <w:rsid w:val="00BD7E61"/>
    <w:rsid w:val="00BE250B"/>
    <w:rsid w:val="00BF15FC"/>
    <w:rsid w:val="00BF42E0"/>
    <w:rsid w:val="00C12B51"/>
    <w:rsid w:val="00C24650"/>
    <w:rsid w:val="00C25465"/>
    <w:rsid w:val="00C30163"/>
    <w:rsid w:val="00C33079"/>
    <w:rsid w:val="00C362C9"/>
    <w:rsid w:val="00C538A8"/>
    <w:rsid w:val="00C55A12"/>
    <w:rsid w:val="00C630E4"/>
    <w:rsid w:val="00C6553E"/>
    <w:rsid w:val="00C73EE8"/>
    <w:rsid w:val="00C83A13"/>
    <w:rsid w:val="00C86F10"/>
    <w:rsid w:val="00C9068C"/>
    <w:rsid w:val="00C92967"/>
    <w:rsid w:val="00C940E3"/>
    <w:rsid w:val="00CA29AA"/>
    <w:rsid w:val="00CA3D0C"/>
    <w:rsid w:val="00CA654B"/>
    <w:rsid w:val="00CB2685"/>
    <w:rsid w:val="00CB32DF"/>
    <w:rsid w:val="00CB72B8"/>
    <w:rsid w:val="00CD0BA8"/>
    <w:rsid w:val="00CD2DF1"/>
    <w:rsid w:val="00CD4C7B"/>
    <w:rsid w:val="00CD53D1"/>
    <w:rsid w:val="00CD58FE"/>
    <w:rsid w:val="00CE2E43"/>
    <w:rsid w:val="00D0452C"/>
    <w:rsid w:val="00D07A40"/>
    <w:rsid w:val="00D33BE3"/>
    <w:rsid w:val="00D374D3"/>
    <w:rsid w:val="00D3792D"/>
    <w:rsid w:val="00D55E47"/>
    <w:rsid w:val="00D62E19"/>
    <w:rsid w:val="00D67CD1"/>
    <w:rsid w:val="00D738D6"/>
    <w:rsid w:val="00D80795"/>
    <w:rsid w:val="00D854BE"/>
    <w:rsid w:val="00D87E00"/>
    <w:rsid w:val="00D9134D"/>
    <w:rsid w:val="00D95A8C"/>
    <w:rsid w:val="00D96D11"/>
    <w:rsid w:val="00DA347A"/>
    <w:rsid w:val="00DA7A03"/>
    <w:rsid w:val="00DB0DB8"/>
    <w:rsid w:val="00DB1818"/>
    <w:rsid w:val="00DC1A78"/>
    <w:rsid w:val="00DC309B"/>
    <w:rsid w:val="00DC4DA2"/>
    <w:rsid w:val="00DC5261"/>
    <w:rsid w:val="00DE25D2"/>
    <w:rsid w:val="00DE5B6D"/>
    <w:rsid w:val="00DF4156"/>
    <w:rsid w:val="00DF7C20"/>
    <w:rsid w:val="00E02980"/>
    <w:rsid w:val="00E37B4A"/>
    <w:rsid w:val="00E46C08"/>
    <w:rsid w:val="00E471CF"/>
    <w:rsid w:val="00E62835"/>
    <w:rsid w:val="00E631B6"/>
    <w:rsid w:val="00E720E6"/>
    <w:rsid w:val="00E76116"/>
    <w:rsid w:val="00E77645"/>
    <w:rsid w:val="00E83697"/>
    <w:rsid w:val="00E859B6"/>
    <w:rsid w:val="00E86EDC"/>
    <w:rsid w:val="00EA66C9"/>
    <w:rsid w:val="00EB5D32"/>
    <w:rsid w:val="00EC36D1"/>
    <w:rsid w:val="00EC4A25"/>
    <w:rsid w:val="00EE0E3E"/>
    <w:rsid w:val="00EE53B5"/>
    <w:rsid w:val="00EF2650"/>
    <w:rsid w:val="00EF612C"/>
    <w:rsid w:val="00F025A2"/>
    <w:rsid w:val="00F036E9"/>
    <w:rsid w:val="00F07388"/>
    <w:rsid w:val="00F2026E"/>
    <w:rsid w:val="00F2210A"/>
    <w:rsid w:val="00F31372"/>
    <w:rsid w:val="00F37743"/>
    <w:rsid w:val="00F54A3D"/>
    <w:rsid w:val="00F54CB0"/>
    <w:rsid w:val="00F579CD"/>
    <w:rsid w:val="00F6085E"/>
    <w:rsid w:val="00F628C4"/>
    <w:rsid w:val="00F653B8"/>
    <w:rsid w:val="00F71B89"/>
    <w:rsid w:val="00F7353C"/>
    <w:rsid w:val="00F76F8F"/>
    <w:rsid w:val="00F77410"/>
    <w:rsid w:val="00F86E60"/>
    <w:rsid w:val="00F87257"/>
    <w:rsid w:val="00F94037"/>
    <w:rsid w:val="00F941DF"/>
    <w:rsid w:val="00FA1266"/>
    <w:rsid w:val="00FB36FA"/>
    <w:rsid w:val="00FC1192"/>
    <w:rsid w:val="00FE106D"/>
    <w:rsid w:val="00FE251B"/>
    <w:rsid w:val="5B37C9F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BEF37C9-21DA-43FC-A542-BB5E727E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F5EC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0B5B9A"/>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0B5B9A"/>
    <w:rPr>
      <w:sz w:val="24"/>
      <w:szCs w:val="24"/>
      <w:lang w:val="en-US" w:eastAsia="zh-CN"/>
    </w:rPr>
  </w:style>
  <w:style w:type="character" w:customStyle="1" w:styleId="NOZchn">
    <w:name w:val="NO Zchn"/>
    <w:link w:val="NO"/>
    <w:rsid w:val="000B5B9A"/>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80EB7"/>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80EB7"/>
    <w:rPr>
      <w:rFonts w:eastAsia="MS Mincho"/>
      <w:szCs w:val="24"/>
      <w:lang w:val="en-US"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22EA9"/>
    <w:rPr>
      <w:b/>
      <w:bCs/>
    </w:rPr>
  </w:style>
  <w:style w:type="character" w:customStyle="1" w:styleId="CommentSubjectChar">
    <w:name w:val="Comment Subject Char"/>
    <w:basedOn w:val="CommentTextChar"/>
    <w:link w:val="CommentSubject"/>
    <w:rsid w:val="00622EA9"/>
    <w:rPr>
      <w:b/>
      <w:bCs/>
      <w:lang w:eastAsia="en-US"/>
    </w:rPr>
  </w:style>
  <w:style w:type="paragraph" w:styleId="ListParagraph">
    <w:name w:val="List Paragraph"/>
    <w:basedOn w:val="Normal"/>
    <w:uiPriority w:val="34"/>
    <w:qFormat/>
    <w:rsid w:val="0068432A"/>
    <w:pPr>
      <w:ind w:left="720"/>
      <w:contextualSpacing/>
    </w:pPr>
  </w:style>
  <w:style w:type="paragraph" w:styleId="Revision">
    <w:name w:val="Revision"/>
    <w:hidden/>
    <w:uiPriority w:val="99"/>
    <w:semiHidden/>
    <w:rsid w:val="00630880"/>
    <w:rPr>
      <w:lang w:eastAsia="en-US"/>
    </w:rPr>
  </w:style>
  <w:style w:type="paragraph" w:customStyle="1" w:styleId="Default">
    <w:name w:val="Default"/>
    <w:rsid w:val="000E51FF"/>
    <w:pPr>
      <w:autoSpaceDE w:val="0"/>
      <w:autoSpaceDN w:val="0"/>
      <w:adjustRightInd w:val="0"/>
    </w:pPr>
    <w:rPr>
      <w:rFonts w:ascii="Nokia Pure Text" w:hAnsi="Nokia Pure Text" w:cs="Nokia Pure Text"/>
      <w:color w:val="000000"/>
      <w:sz w:val="24"/>
      <w:szCs w:val="24"/>
      <w:lang w:val="en-US"/>
    </w:rPr>
  </w:style>
  <w:style w:type="character" w:styleId="FollowedHyperlink">
    <w:name w:val="FollowedHyperlink"/>
    <w:basedOn w:val="DefaultParagraphFont"/>
    <w:rsid w:val="00261FD1"/>
    <w:rPr>
      <w:color w:val="954F72" w:themeColor="followedHyperlink"/>
      <w:u w:val="single"/>
    </w:rPr>
  </w:style>
  <w:style w:type="table" w:styleId="TableGrid">
    <w:name w:val="Table Grid"/>
    <w:basedOn w:val="TableNormal"/>
    <w:rsid w:val="00122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7751">
      <w:bodyDiv w:val="1"/>
      <w:marLeft w:val="0"/>
      <w:marRight w:val="0"/>
      <w:marTop w:val="0"/>
      <w:marBottom w:val="0"/>
      <w:divBdr>
        <w:top w:val="none" w:sz="0" w:space="0" w:color="auto"/>
        <w:left w:val="none" w:sz="0" w:space="0" w:color="auto"/>
        <w:bottom w:val="none" w:sz="0" w:space="0" w:color="auto"/>
        <w:right w:val="none" w:sz="0" w:space="0" w:color="auto"/>
      </w:divBdr>
    </w:div>
    <w:div w:id="609896160">
      <w:bodyDiv w:val="1"/>
      <w:marLeft w:val="0"/>
      <w:marRight w:val="0"/>
      <w:marTop w:val="0"/>
      <w:marBottom w:val="0"/>
      <w:divBdr>
        <w:top w:val="none" w:sz="0" w:space="0" w:color="auto"/>
        <w:left w:val="none" w:sz="0" w:space="0" w:color="auto"/>
        <w:bottom w:val="none" w:sz="0" w:space="0" w:color="auto"/>
        <w:right w:val="none" w:sz="0" w:space="0" w:color="auto"/>
      </w:divBdr>
      <w:divsChild>
        <w:div w:id="239488719">
          <w:marLeft w:val="634"/>
          <w:marRight w:val="0"/>
          <w:marTop w:val="0"/>
          <w:marBottom w:val="80"/>
          <w:divBdr>
            <w:top w:val="none" w:sz="0" w:space="0" w:color="auto"/>
            <w:left w:val="none" w:sz="0" w:space="0" w:color="auto"/>
            <w:bottom w:val="none" w:sz="0" w:space="0" w:color="auto"/>
            <w:right w:val="none" w:sz="0" w:space="0" w:color="auto"/>
          </w:divBdr>
        </w:div>
        <w:div w:id="275405797">
          <w:marLeft w:val="634"/>
          <w:marRight w:val="0"/>
          <w:marTop w:val="0"/>
          <w:marBottom w:val="80"/>
          <w:divBdr>
            <w:top w:val="none" w:sz="0" w:space="0" w:color="auto"/>
            <w:left w:val="none" w:sz="0" w:space="0" w:color="auto"/>
            <w:bottom w:val="none" w:sz="0" w:space="0" w:color="auto"/>
            <w:right w:val="none" w:sz="0" w:space="0" w:color="auto"/>
          </w:divBdr>
        </w:div>
        <w:div w:id="578292478">
          <w:marLeft w:val="360"/>
          <w:marRight w:val="0"/>
          <w:marTop w:val="0"/>
          <w:marBottom w:val="80"/>
          <w:divBdr>
            <w:top w:val="none" w:sz="0" w:space="0" w:color="auto"/>
            <w:left w:val="none" w:sz="0" w:space="0" w:color="auto"/>
            <w:bottom w:val="none" w:sz="0" w:space="0" w:color="auto"/>
            <w:right w:val="none" w:sz="0" w:space="0" w:color="auto"/>
          </w:divBdr>
        </w:div>
        <w:div w:id="935022547">
          <w:marLeft w:val="360"/>
          <w:marRight w:val="0"/>
          <w:marTop w:val="0"/>
          <w:marBottom w:val="80"/>
          <w:divBdr>
            <w:top w:val="none" w:sz="0" w:space="0" w:color="auto"/>
            <w:left w:val="none" w:sz="0" w:space="0" w:color="auto"/>
            <w:bottom w:val="none" w:sz="0" w:space="0" w:color="auto"/>
            <w:right w:val="none" w:sz="0" w:space="0" w:color="auto"/>
          </w:divBdr>
        </w:div>
        <w:div w:id="1056396309">
          <w:marLeft w:val="634"/>
          <w:marRight w:val="0"/>
          <w:marTop w:val="0"/>
          <w:marBottom w:val="80"/>
          <w:divBdr>
            <w:top w:val="none" w:sz="0" w:space="0" w:color="auto"/>
            <w:left w:val="none" w:sz="0" w:space="0" w:color="auto"/>
            <w:bottom w:val="none" w:sz="0" w:space="0" w:color="auto"/>
            <w:right w:val="none" w:sz="0" w:space="0" w:color="auto"/>
          </w:divBdr>
        </w:div>
        <w:div w:id="1150829792">
          <w:marLeft w:val="634"/>
          <w:marRight w:val="0"/>
          <w:marTop w:val="0"/>
          <w:marBottom w:val="80"/>
          <w:divBdr>
            <w:top w:val="none" w:sz="0" w:space="0" w:color="auto"/>
            <w:left w:val="none" w:sz="0" w:space="0" w:color="auto"/>
            <w:bottom w:val="none" w:sz="0" w:space="0" w:color="auto"/>
            <w:right w:val="none" w:sz="0" w:space="0" w:color="auto"/>
          </w:divBdr>
        </w:div>
        <w:div w:id="1492215568">
          <w:marLeft w:val="360"/>
          <w:marRight w:val="0"/>
          <w:marTop w:val="0"/>
          <w:marBottom w:val="80"/>
          <w:divBdr>
            <w:top w:val="none" w:sz="0" w:space="0" w:color="auto"/>
            <w:left w:val="none" w:sz="0" w:space="0" w:color="auto"/>
            <w:bottom w:val="none" w:sz="0" w:space="0" w:color="auto"/>
            <w:right w:val="none" w:sz="0" w:space="0" w:color="auto"/>
          </w:divBdr>
        </w:div>
        <w:div w:id="1637878035">
          <w:marLeft w:val="634"/>
          <w:marRight w:val="0"/>
          <w:marTop w:val="0"/>
          <w:marBottom w:val="80"/>
          <w:divBdr>
            <w:top w:val="none" w:sz="0" w:space="0" w:color="auto"/>
            <w:left w:val="none" w:sz="0" w:space="0" w:color="auto"/>
            <w:bottom w:val="none" w:sz="0" w:space="0" w:color="auto"/>
            <w:right w:val="none" w:sz="0" w:space="0" w:color="auto"/>
          </w:divBdr>
        </w:div>
        <w:div w:id="1912151256">
          <w:marLeft w:val="634"/>
          <w:marRight w:val="0"/>
          <w:marTop w:val="0"/>
          <w:marBottom w:val="80"/>
          <w:divBdr>
            <w:top w:val="none" w:sz="0" w:space="0" w:color="auto"/>
            <w:left w:val="none" w:sz="0" w:space="0" w:color="auto"/>
            <w:bottom w:val="none" w:sz="0" w:space="0" w:color="auto"/>
            <w:right w:val="none" w:sz="0" w:space="0" w:color="auto"/>
          </w:divBdr>
        </w:div>
        <w:div w:id="2002387537">
          <w:marLeft w:val="360"/>
          <w:marRight w:val="0"/>
          <w:marTop w:val="0"/>
          <w:marBottom w:val="8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286057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062102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3_Iu/TSGR3_119bis-e/Docs/R3-232091.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WG3_Iu/TSGR3_119bis-e/Docs/R3-232027.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2/Docs/R2-230462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9bis-e/Docs/R3-232118.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5AIRPNAIUNRU-859666464-14144</_dlc_DocId>
    <_dlc_DocIdUrl xmlns="71c5aaf6-e6ce-465b-b873-5148d2a4c105">
      <Url>https://nokia.sharepoint.com/sites/c5g/e2earch/_layouts/15/DocIdRedir.aspx?ID=5AIRPNAIUNRU-859666464-14144</Url>
      <Description>5AIRPNAIUNRU-859666464-14144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dcmitype/"/>
    <ds:schemaRef ds:uri="3b34c8f0-1ef5-4d1e-bb66-517ce7fe7356"/>
    <ds:schemaRef ds:uri="http://schemas.microsoft.com/office/2006/documentManagement/type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83f22d2f-d16e-4be6-ad4f-29fa0b067c3c"/>
    <ds:schemaRef ds:uri="a3840f4f-04be-43d1-b2ef-6ff1382503c7"/>
    <ds:schemaRef ds:uri="http://www.w3.org/XML/1998/namespace"/>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Pages>
  <Words>1824</Words>
  <Characters>10403</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12203</CharactersWithSpaces>
  <SharedDoc>false</SharedDoc>
  <HyperlinkBase/>
  <HLinks>
    <vt:vector size="30" baseType="variant">
      <vt:variant>
        <vt:i4>8060928</vt:i4>
      </vt:variant>
      <vt:variant>
        <vt:i4>12</vt:i4>
      </vt:variant>
      <vt:variant>
        <vt:i4>0</vt:i4>
      </vt:variant>
      <vt:variant>
        <vt:i4>5</vt:i4>
      </vt:variant>
      <vt:variant>
        <vt:lpwstr>mailto:3GPPLiaison@etsi.org</vt:lpwstr>
      </vt:variant>
      <vt:variant>
        <vt:lpwstr/>
      </vt:variant>
      <vt:variant>
        <vt:i4>7667776</vt:i4>
      </vt:variant>
      <vt:variant>
        <vt:i4>9</vt:i4>
      </vt:variant>
      <vt:variant>
        <vt:i4>0</vt:i4>
      </vt:variant>
      <vt:variant>
        <vt:i4>5</vt:i4>
      </vt:variant>
      <vt:variant>
        <vt:lpwstr>https://www.3gpp.org/ftp/TSG_RAN/WG2_RL2/TSGR2_122/Docs/R2-2304628.zip</vt:lpwstr>
      </vt:variant>
      <vt:variant>
        <vt:lpwstr/>
      </vt:variant>
      <vt:variant>
        <vt:i4>3801156</vt:i4>
      </vt:variant>
      <vt:variant>
        <vt:i4>6</vt:i4>
      </vt:variant>
      <vt:variant>
        <vt:i4>0</vt:i4>
      </vt:variant>
      <vt:variant>
        <vt:i4>5</vt:i4>
      </vt:variant>
      <vt:variant>
        <vt:lpwstr>https://www.3gpp.org/ftp/tsg_ran/WG3_Iu/TSGR3_119bis-e/Docs/R3-232118.zip</vt:lpwstr>
      </vt:variant>
      <vt:variant>
        <vt:lpwstr/>
      </vt:variant>
      <vt:variant>
        <vt:i4>3276876</vt:i4>
      </vt:variant>
      <vt:variant>
        <vt:i4>3</vt:i4>
      </vt:variant>
      <vt:variant>
        <vt:i4>0</vt:i4>
      </vt:variant>
      <vt:variant>
        <vt:i4>5</vt:i4>
      </vt:variant>
      <vt:variant>
        <vt:lpwstr>https://www.3gpp.org/ftp/tsg_ran/WG3_Iu/TSGR3_119bis-e/Docs/R3-232091.zip</vt:lpwstr>
      </vt:variant>
      <vt:variant>
        <vt:lpwstr/>
      </vt:variant>
      <vt:variant>
        <vt:i4>3735626</vt:i4>
      </vt:variant>
      <vt:variant>
        <vt:i4>0</vt:i4>
      </vt:variant>
      <vt:variant>
        <vt:i4>0</vt:i4>
      </vt:variant>
      <vt:variant>
        <vt:i4>5</vt:i4>
      </vt:variant>
      <vt:variant>
        <vt:lpwstr>https://www.3gpp.org/ftp/tsg_ran/WG3_Iu/TSGR3_119bis-e/Docs/R3-232027.zip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204</cp:revision>
  <dcterms:created xsi:type="dcterms:W3CDTF">2016-08-13T07:53:00Z</dcterms:created>
  <dcterms:modified xsi:type="dcterms:W3CDTF">2023-05-12T17:38:00Z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7b404f6f-80ea-4b87-a9e8-612e14e89d94</vt:lpwstr>
  </property>
</Properties>
</file>